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9F51F2"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color w:val="FF0000"/>
        </w:rPr>
      </w:pPr>
    </w:p>
    <w:p w14:paraId="47CD52C7" w14:textId="4D1DF140" w:rsidR="00D2160C" w:rsidRPr="009F51F2" w:rsidRDefault="00431DFC"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431DFC">
        <w:rPr>
          <w:rFonts w:eastAsiaTheme="minorEastAsia" w:cs="Times New Roman"/>
          <w:b/>
          <w:kern w:val="2"/>
          <w:sz w:val="52"/>
          <w:szCs w:val="52"/>
        </w:rPr>
        <w:t>东社镇和樾佳苑西侧三金线北侧地块</w:t>
      </w:r>
      <w:r w:rsidR="00050A1D" w:rsidRPr="009F51F2">
        <w:rPr>
          <w:rFonts w:eastAsiaTheme="minorEastAsia" w:cs="Times New Roman"/>
          <w:b/>
          <w:kern w:val="2"/>
          <w:sz w:val="52"/>
          <w:szCs w:val="52"/>
        </w:rPr>
        <w:t>土壤污染状况调查</w:t>
      </w:r>
      <w:r w:rsidR="00BB0EBB" w:rsidRPr="009F51F2">
        <w:rPr>
          <w:rFonts w:eastAsiaTheme="minorEastAsia" w:cs="Times New Roman"/>
          <w:b/>
          <w:kern w:val="2"/>
          <w:sz w:val="52"/>
          <w:szCs w:val="52"/>
        </w:rPr>
        <w:t>报告</w:t>
      </w:r>
    </w:p>
    <w:p w14:paraId="2AED6B0B" w14:textId="13B80BC5"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159DDD9" w14:textId="1FC20E74" w:rsidR="00D2160C" w:rsidRPr="009F51F2"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9F51F2">
        <w:rPr>
          <w:rFonts w:eastAsiaTheme="minorEastAsia" w:cs="Times New Roman"/>
          <w:b/>
          <w:kern w:val="2"/>
          <w:sz w:val="32"/>
          <w:szCs w:val="52"/>
        </w:rPr>
        <w:t>委托单位：</w:t>
      </w:r>
      <w:r w:rsidR="00D92CAD" w:rsidRPr="009F51F2">
        <w:rPr>
          <w:rFonts w:eastAsiaTheme="minorEastAsia" w:cs="Times New Roman"/>
          <w:b/>
          <w:kern w:val="2"/>
          <w:sz w:val="32"/>
          <w:szCs w:val="52"/>
        </w:rPr>
        <w:t>南通市通州区土地储备中心</w:t>
      </w:r>
    </w:p>
    <w:p w14:paraId="0FA08C1A" w14:textId="248CA553" w:rsidR="00D2160C" w:rsidRPr="009F51F2"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9F51F2">
        <w:rPr>
          <w:rFonts w:eastAsiaTheme="minorEastAsia" w:cs="Times New Roman"/>
          <w:b/>
          <w:kern w:val="2"/>
          <w:sz w:val="32"/>
          <w:szCs w:val="52"/>
        </w:rPr>
        <w:t>调查单位：</w:t>
      </w:r>
      <w:r w:rsidR="00D92CAD" w:rsidRPr="009F51F2">
        <w:rPr>
          <w:rFonts w:eastAsiaTheme="minorEastAsia" w:cs="Times New Roman"/>
          <w:b/>
          <w:kern w:val="2"/>
          <w:sz w:val="32"/>
          <w:szCs w:val="52"/>
        </w:rPr>
        <w:t>南京国环科技股份有限公司</w:t>
      </w:r>
    </w:p>
    <w:p w14:paraId="1D2B72C0" w14:textId="404F48CA" w:rsidR="00D2160C" w:rsidRPr="009F51F2" w:rsidRDefault="00000000" w:rsidP="00BB0EBB">
      <w:pPr>
        <w:jc w:val="center"/>
        <w:rPr>
          <w:rFonts w:eastAsiaTheme="minorEastAsia" w:cs="Times New Roman"/>
          <w:b/>
          <w:kern w:val="2"/>
          <w:sz w:val="32"/>
          <w:szCs w:val="52"/>
        </w:rPr>
      </w:pPr>
      <w:r w:rsidRPr="009F51F2">
        <w:rPr>
          <w:rFonts w:eastAsiaTheme="minorEastAsia" w:cs="Times New Roman"/>
          <w:kern w:val="2"/>
          <w:sz w:val="32"/>
          <w:szCs w:val="52"/>
        </w:rPr>
        <w:t>202</w:t>
      </w:r>
      <w:r w:rsidR="00D92CAD" w:rsidRPr="009F51F2">
        <w:rPr>
          <w:rFonts w:eastAsiaTheme="minorEastAsia" w:cs="Times New Roman"/>
          <w:kern w:val="2"/>
          <w:sz w:val="32"/>
          <w:szCs w:val="52"/>
        </w:rPr>
        <w:t>6</w:t>
      </w:r>
      <w:r w:rsidRPr="009F51F2">
        <w:rPr>
          <w:rFonts w:eastAsiaTheme="minorEastAsia" w:cs="Times New Roman"/>
          <w:b/>
          <w:kern w:val="2"/>
          <w:sz w:val="32"/>
          <w:szCs w:val="52"/>
        </w:rPr>
        <w:t>年</w:t>
      </w:r>
      <w:r w:rsidR="00431DFC">
        <w:rPr>
          <w:rFonts w:eastAsiaTheme="minorEastAsia" w:cs="Times New Roman" w:hint="eastAsia"/>
          <w:kern w:val="2"/>
          <w:sz w:val="32"/>
          <w:szCs w:val="52"/>
        </w:rPr>
        <w:t>8</w:t>
      </w:r>
      <w:r w:rsidRPr="009F51F2">
        <w:rPr>
          <w:rFonts w:eastAsiaTheme="minorEastAsia" w:cs="Times New Roman"/>
          <w:b/>
          <w:kern w:val="2"/>
          <w:sz w:val="32"/>
          <w:szCs w:val="52"/>
        </w:rPr>
        <w:t>月</w:t>
      </w:r>
    </w:p>
    <w:p w14:paraId="26DDF729" w14:textId="77777777" w:rsidR="00D2160C" w:rsidRPr="009F51F2" w:rsidRDefault="00000000">
      <w:pPr>
        <w:rPr>
          <w:rFonts w:eastAsiaTheme="minorEastAsia" w:cs="Times New Roman"/>
          <w:b/>
          <w:color w:val="FF0000"/>
          <w:kern w:val="2"/>
          <w:sz w:val="32"/>
          <w:szCs w:val="52"/>
        </w:rPr>
      </w:pPr>
      <w:r w:rsidRPr="009F51F2">
        <w:rPr>
          <w:rFonts w:eastAsiaTheme="minorEastAsia" w:cs="Times New Roman"/>
          <w:b/>
          <w:color w:val="FF0000"/>
          <w:kern w:val="2"/>
          <w:sz w:val="32"/>
          <w:szCs w:val="52"/>
        </w:rPr>
        <w:br w:type="page"/>
      </w:r>
    </w:p>
    <w:p w14:paraId="4ABA5FC0" w14:textId="5FFF3D4D" w:rsidR="00D2160C" w:rsidRPr="009F51F2" w:rsidRDefault="00000000" w:rsidP="00BB0EBB">
      <w:pPr>
        <w:pStyle w:val="li"/>
        <w:rPr>
          <w:rFonts w:eastAsiaTheme="minorEastAsia"/>
          <w:color w:val="auto"/>
        </w:rPr>
      </w:pPr>
      <w:r w:rsidRPr="009F51F2">
        <w:rPr>
          <w:rFonts w:eastAsiaTheme="minorEastAsia"/>
          <w:color w:val="auto"/>
        </w:rPr>
        <w:lastRenderedPageBreak/>
        <w:t>摘</w:t>
      </w:r>
      <w:r w:rsidR="00815026" w:rsidRPr="009F51F2">
        <w:rPr>
          <w:rFonts w:eastAsiaTheme="minorEastAsia"/>
          <w:color w:val="auto"/>
        </w:rPr>
        <w:t xml:space="preserve"> </w:t>
      </w:r>
      <w:r w:rsidRPr="009F51F2">
        <w:rPr>
          <w:rFonts w:eastAsiaTheme="minorEastAsia"/>
          <w:color w:val="auto"/>
        </w:rPr>
        <w:t>要</w:t>
      </w:r>
    </w:p>
    <w:p w14:paraId="42BF506F" w14:textId="77777777" w:rsidR="00431DFC" w:rsidRPr="00431DFC" w:rsidRDefault="00431DFC" w:rsidP="00431DFC">
      <w:pPr>
        <w:pStyle w:val="-0"/>
        <w:rPr>
          <w:rFonts w:eastAsiaTheme="minorEastAsia" w:hint="eastAsia"/>
          <w:color w:val="auto"/>
        </w:rPr>
      </w:pPr>
      <w:r w:rsidRPr="00431DFC">
        <w:rPr>
          <w:rFonts w:eastAsiaTheme="minorEastAsia" w:hint="eastAsia"/>
          <w:color w:val="auto"/>
        </w:rPr>
        <w:t>本次调查的东社镇和樾佳苑西侧三金线北侧地块（以下简称“调查地块”）位于通州区东社镇东社社区，东至民华路（规划）、南至绿地、西至西华路（规划）、北至东社社区居民区，占地面积</w:t>
      </w:r>
      <w:r w:rsidRPr="00431DFC">
        <w:rPr>
          <w:rFonts w:eastAsiaTheme="minorEastAsia" w:hint="eastAsia"/>
          <w:color w:val="auto"/>
        </w:rPr>
        <w:t>24513m2</w:t>
      </w:r>
      <w:r w:rsidRPr="00431DFC">
        <w:rPr>
          <w:rFonts w:eastAsiaTheme="minorEastAsia" w:hint="eastAsia"/>
          <w:color w:val="auto"/>
        </w:rPr>
        <w:t>。</w:t>
      </w:r>
      <w:r w:rsidRPr="00431DFC">
        <w:rPr>
          <w:rFonts w:eastAsiaTheme="minorEastAsia" w:hint="eastAsia"/>
          <w:color w:val="auto"/>
        </w:rPr>
        <w:t>2026</w:t>
      </w:r>
      <w:r w:rsidRPr="00431DFC">
        <w:rPr>
          <w:rFonts w:eastAsiaTheme="minorEastAsia" w:hint="eastAsia"/>
          <w:color w:val="auto"/>
        </w:rPr>
        <w:t>年</w:t>
      </w:r>
      <w:r w:rsidRPr="00431DFC">
        <w:rPr>
          <w:rFonts w:eastAsiaTheme="minorEastAsia" w:hint="eastAsia"/>
          <w:color w:val="auto"/>
        </w:rPr>
        <w:t>8</w:t>
      </w:r>
      <w:r w:rsidRPr="00431DFC">
        <w:rPr>
          <w:rFonts w:eastAsiaTheme="minorEastAsia" w:hint="eastAsia"/>
          <w:color w:val="auto"/>
        </w:rPr>
        <w:t>月，为了保证土地开发利用安全，南通市通州区土地储备中心委托南京国环科技股份有限公司对东社镇和樾佳苑西侧三金线北侧地块开展土壤污染状况调查工作。</w:t>
      </w:r>
    </w:p>
    <w:p w14:paraId="407D9288" w14:textId="77777777" w:rsidR="00431DFC" w:rsidRPr="00431DFC" w:rsidRDefault="00431DFC" w:rsidP="00431DFC">
      <w:pPr>
        <w:pStyle w:val="-0"/>
        <w:rPr>
          <w:rFonts w:eastAsiaTheme="minorEastAsia" w:hint="eastAsia"/>
          <w:color w:val="auto"/>
        </w:rPr>
      </w:pPr>
      <w:r w:rsidRPr="00431DFC">
        <w:rPr>
          <w:rFonts w:eastAsiaTheme="minorEastAsia" w:hint="eastAsia"/>
          <w:color w:val="auto"/>
        </w:rPr>
        <w:t>通过现场踏勘、人员访谈、资料收集与分析可知，本次调查地块历史上主要为农田和居民区，历史上无工业企业生产活动，调查地块至今未发现有生产、使用、贮存、回收、处置有毒有害物质以及固体（危险）废物堆放、填埋，未曾发生过环境污染事件，故调查地块内无潜在污染源。调查地块周边历史存在工业企业，对调查地块影响可以忽略。地块周边水系历史水质良好，可排除其对调查地块造成影响。</w:t>
      </w:r>
    </w:p>
    <w:p w14:paraId="2C6B4DF0" w14:textId="77777777" w:rsidR="00431DFC" w:rsidRPr="00431DFC" w:rsidRDefault="00431DFC" w:rsidP="00431DFC">
      <w:pPr>
        <w:pStyle w:val="-0"/>
        <w:rPr>
          <w:rFonts w:eastAsiaTheme="minorEastAsia" w:hint="eastAsia"/>
          <w:color w:val="auto"/>
        </w:rPr>
      </w:pPr>
      <w:r w:rsidRPr="00431DFC">
        <w:rPr>
          <w:rFonts w:eastAsiaTheme="minorEastAsia" w:hint="eastAsia"/>
          <w:color w:val="auto"/>
        </w:rPr>
        <w:t>本次调查地块内共布设</w:t>
      </w:r>
      <w:r w:rsidRPr="00431DFC">
        <w:rPr>
          <w:rFonts w:eastAsiaTheme="minorEastAsia" w:hint="eastAsia"/>
          <w:color w:val="auto"/>
        </w:rPr>
        <w:t>11</w:t>
      </w:r>
      <w:r w:rsidRPr="00431DFC">
        <w:rPr>
          <w:rFonts w:eastAsiaTheme="minorEastAsia" w:hint="eastAsia"/>
          <w:color w:val="auto"/>
        </w:rPr>
        <w:t>个土壤快筛点位，采集</w:t>
      </w:r>
      <w:r w:rsidRPr="00431DFC">
        <w:rPr>
          <w:rFonts w:eastAsiaTheme="minorEastAsia" w:hint="eastAsia"/>
          <w:color w:val="auto"/>
        </w:rPr>
        <w:t>13</w:t>
      </w:r>
      <w:r w:rsidRPr="00431DFC">
        <w:rPr>
          <w:rFonts w:eastAsiaTheme="minorEastAsia" w:hint="eastAsia"/>
          <w:color w:val="auto"/>
        </w:rPr>
        <w:t>个土壤样品现场快筛，</w:t>
      </w:r>
      <w:r w:rsidRPr="00431DFC">
        <w:rPr>
          <w:rFonts w:eastAsiaTheme="minorEastAsia" w:hint="eastAsia"/>
          <w:color w:val="auto"/>
        </w:rPr>
        <w:t>13</w:t>
      </w:r>
      <w:r w:rsidRPr="00431DFC">
        <w:rPr>
          <w:rFonts w:eastAsiaTheme="minorEastAsia" w:hint="eastAsia"/>
          <w:color w:val="auto"/>
        </w:rPr>
        <w:t>个土壤样品重金属砷、镉、铜、铅、汞和镍检出值均低于《土壤环境质量</w:t>
      </w:r>
      <w:r w:rsidRPr="00431DFC">
        <w:rPr>
          <w:rFonts w:eastAsiaTheme="minorEastAsia" w:hint="eastAsia"/>
          <w:color w:val="auto"/>
        </w:rPr>
        <w:t xml:space="preserve"> </w:t>
      </w:r>
      <w:r w:rsidRPr="00431DFC">
        <w:rPr>
          <w:rFonts w:eastAsiaTheme="minorEastAsia" w:hint="eastAsia"/>
          <w:color w:val="auto"/>
        </w:rPr>
        <w:t>建设用地土壤污染风险管控标准（试行）》（</w:t>
      </w:r>
      <w:r w:rsidRPr="00431DFC">
        <w:rPr>
          <w:rFonts w:eastAsiaTheme="minorEastAsia" w:hint="eastAsia"/>
          <w:color w:val="auto"/>
        </w:rPr>
        <w:t>GB 36600-2018</w:t>
      </w:r>
      <w:r w:rsidRPr="00431DFC">
        <w:rPr>
          <w:rFonts w:eastAsiaTheme="minorEastAsia" w:hint="eastAsia"/>
          <w:color w:val="auto"/>
        </w:rPr>
        <w:t>）第一类用地筛选值，总铬、锌和锡检出值均低于《建设用地土壤污染风险筛选值和管制值》（</w:t>
      </w:r>
      <w:r w:rsidRPr="00431DFC">
        <w:rPr>
          <w:rFonts w:eastAsiaTheme="minorEastAsia" w:hint="eastAsia"/>
          <w:color w:val="auto"/>
        </w:rPr>
        <w:t>DB 4403/T 67-2020</w:t>
      </w:r>
      <w:r w:rsidRPr="00431DFC">
        <w:rPr>
          <w:rFonts w:eastAsiaTheme="minorEastAsia" w:hint="eastAsia"/>
          <w:color w:val="auto"/>
        </w:rPr>
        <w:t>）中第一类建设用地筛选值，</w:t>
      </w:r>
      <w:r w:rsidRPr="00431DFC">
        <w:rPr>
          <w:rFonts w:eastAsiaTheme="minorEastAsia" w:hint="eastAsia"/>
          <w:color w:val="auto"/>
        </w:rPr>
        <w:t>PID</w:t>
      </w:r>
      <w:r w:rsidRPr="00431DFC">
        <w:rPr>
          <w:rFonts w:eastAsiaTheme="minorEastAsia" w:hint="eastAsia"/>
          <w:color w:val="auto"/>
        </w:rPr>
        <w:t>快检数据无异常，且与对照点相比没有明显差异。</w:t>
      </w:r>
    </w:p>
    <w:p w14:paraId="46FB2707" w14:textId="07E0255B" w:rsidR="00834F1E" w:rsidRPr="009F51F2" w:rsidRDefault="00431DFC" w:rsidP="00431DFC">
      <w:pPr>
        <w:pStyle w:val="-0"/>
        <w:rPr>
          <w:rFonts w:eastAsiaTheme="minorEastAsia"/>
          <w:color w:val="FF0000"/>
        </w:rPr>
        <w:sectPr w:rsidR="00834F1E" w:rsidRPr="009F51F2" w:rsidSect="0056105E">
          <w:footerReference w:type="default" r:id="rId9"/>
          <w:type w:val="continuous"/>
          <w:pgSz w:w="11907" w:h="16839"/>
          <w:pgMar w:top="1440" w:right="1800" w:bottom="1440" w:left="1800" w:header="850" w:footer="992" w:gutter="0"/>
          <w:pgNumType w:fmt="upperRoman"/>
          <w:cols w:space="720"/>
          <w:docGrid w:linePitch="326"/>
        </w:sectPr>
      </w:pPr>
      <w:r w:rsidRPr="00431DFC">
        <w:rPr>
          <w:rFonts w:eastAsiaTheme="minorEastAsia" w:hint="eastAsia"/>
          <w:color w:val="auto"/>
        </w:rPr>
        <w:t>因此，调查结果表明地块内及周围区域当前和历史上不存在确定的、可能造成土壤污染的来源，认为本次调查地块的环境状况可以接受，不属于污染地块</w:t>
      </w:r>
      <w:r w:rsidR="00D92CAD" w:rsidRPr="009F51F2">
        <w:rPr>
          <w:rFonts w:eastAsiaTheme="minorEastAsia"/>
          <w:color w:val="auto"/>
        </w:rPr>
        <w:t>。</w:t>
      </w:r>
    </w:p>
    <w:p w14:paraId="18FEAC8C" w14:textId="77777777" w:rsidR="00D2160C" w:rsidRPr="009F51F2" w:rsidRDefault="00D2160C">
      <w:pPr>
        <w:rPr>
          <w:rFonts w:eastAsiaTheme="minorEastAsia" w:cs="Times New Roman"/>
          <w:color w:val="FF0000"/>
          <w:lang w:val="zh-CN"/>
        </w:rPr>
        <w:sectPr w:rsidR="00D2160C" w:rsidRPr="009F51F2" w:rsidSect="0056105E">
          <w:footerReference w:type="default" r:id="rId10"/>
          <w:type w:val="continuous"/>
          <w:pgSz w:w="11907" w:h="16839"/>
          <w:pgMar w:top="1440" w:right="1800" w:bottom="1440" w:left="1800" w:header="884" w:footer="1202" w:gutter="0"/>
          <w:pgNumType w:fmt="upperRoman" w:start="1"/>
          <w:cols w:space="720"/>
        </w:sectPr>
      </w:pPr>
      <w:bookmarkStart w:id="1" w:name="_Toc22876"/>
      <w:bookmarkStart w:id="2" w:name="_Toc31682"/>
    </w:p>
    <w:bookmarkEnd w:id="1"/>
    <w:bookmarkEnd w:id="2"/>
    <w:p w14:paraId="4CA1DFC3" w14:textId="0E544801" w:rsidR="00D2160C" w:rsidRPr="009F51F2" w:rsidRDefault="00A94D8A" w:rsidP="00834F1E">
      <w:pPr>
        <w:pStyle w:val="13"/>
        <w:spacing w:beforeLines="0" w:before="0" w:afterLines="0" w:after="0" w:line="360" w:lineRule="auto"/>
        <w:ind w:left="0"/>
        <w:jc w:val="left"/>
        <w:rPr>
          <w:rFonts w:eastAsiaTheme="minorEastAsia"/>
        </w:rPr>
      </w:pPr>
      <w:r w:rsidRPr="009F51F2">
        <w:rPr>
          <w:rFonts w:eastAsiaTheme="minorEastAsia"/>
        </w:rPr>
        <w:lastRenderedPageBreak/>
        <w:t>地块概况</w:t>
      </w:r>
    </w:p>
    <w:p w14:paraId="5E36A902" w14:textId="77777777" w:rsidR="00D2160C" w:rsidRPr="009F51F2" w:rsidRDefault="00000000" w:rsidP="00834F1E">
      <w:pPr>
        <w:pStyle w:val="2"/>
        <w:spacing w:beforeLines="0" w:before="0" w:afterLines="0" w:after="0" w:line="360" w:lineRule="auto"/>
        <w:jc w:val="left"/>
        <w:rPr>
          <w:rFonts w:eastAsiaTheme="minorEastAsia"/>
          <w:color w:val="auto"/>
        </w:rPr>
      </w:pPr>
      <w:bookmarkStart w:id="3" w:name="_bookmark3"/>
      <w:bookmarkStart w:id="4" w:name="_bookmark6"/>
      <w:bookmarkStart w:id="5" w:name="_Toc32207"/>
      <w:bookmarkStart w:id="6" w:name="_Toc165749304"/>
      <w:bookmarkEnd w:id="3"/>
      <w:bookmarkEnd w:id="4"/>
      <w:r w:rsidRPr="009F51F2">
        <w:rPr>
          <w:rFonts w:eastAsiaTheme="minorEastAsia"/>
          <w:color w:val="auto"/>
        </w:rPr>
        <w:t>调查范围</w:t>
      </w:r>
      <w:bookmarkEnd w:id="5"/>
      <w:bookmarkEnd w:id="6"/>
    </w:p>
    <w:p w14:paraId="613D308F" w14:textId="77777777" w:rsidR="00431DFC" w:rsidRPr="000D7389" w:rsidRDefault="00431DFC" w:rsidP="00431DFC">
      <w:pPr>
        <w:pStyle w:val="-0"/>
        <w:spacing w:line="360" w:lineRule="auto"/>
        <w:rPr>
          <w:rFonts w:eastAsiaTheme="minorEastAsia"/>
          <w:color w:val="auto"/>
        </w:rPr>
      </w:pPr>
      <w:bookmarkStart w:id="7" w:name="_bookmark7"/>
      <w:bookmarkStart w:id="8" w:name="_bookmark8"/>
      <w:bookmarkStart w:id="9" w:name="_bookmark12"/>
      <w:bookmarkStart w:id="10" w:name="_bookmark13"/>
      <w:bookmarkStart w:id="11" w:name="_bookmark14"/>
      <w:bookmarkStart w:id="12" w:name="_Toc22906"/>
      <w:bookmarkStart w:id="13" w:name="_Toc7867"/>
      <w:bookmarkStart w:id="14" w:name="_Toc165749307"/>
      <w:bookmarkEnd w:id="7"/>
      <w:bookmarkEnd w:id="8"/>
      <w:bookmarkEnd w:id="9"/>
      <w:bookmarkEnd w:id="10"/>
      <w:bookmarkEnd w:id="11"/>
      <w:r w:rsidRPr="000D7389">
        <w:rPr>
          <w:rFonts w:eastAsiaTheme="minorEastAsia"/>
          <w:color w:val="auto"/>
        </w:rPr>
        <w:t>本次</w:t>
      </w:r>
      <w:r w:rsidRPr="000D7389">
        <w:rPr>
          <w:rFonts w:eastAsiaTheme="minorEastAsia"/>
          <w:color w:val="auto"/>
          <w:lang w:val="en-US"/>
        </w:rPr>
        <w:t>调查</w:t>
      </w:r>
      <w:r w:rsidRPr="000D7389">
        <w:rPr>
          <w:rFonts w:eastAsiaTheme="minorEastAsia"/>
          <w:color w:val="auto"/>
        </w:rPr>
        <w:t>地块为东社镇和樾佳苑西侧三金线北侧地块，位于</w:t>
      </w:r>
      <w:bookmarkStart w:id="15" w:name="_Hlk164089398"/>
      <w:r w:rsidRPr="000D7389">
        <w:rPr>
          <w:rFonts w:eastAsiaTheme="minorEastAsia"/>
          <w:color w:val="auto"/>
        </w:rPr>
        <w:t>通州区东社镇东社社区，东至民华路（规划）、南至绿地、西至西华路（规划）、北至东社社区居民区，地块具体位置见图</w:t>
      </w:r>
      <w:r w:rsidRPr="000D7389">
        <w:rPr>
          <w:rFonts w:eastAsiaTheme="minorEastAsia"/>
          <w:color w:val="auto"/>
        </w:rPr>
        <w:t>2.2-1</w:t>
      </w:r>
      <w:bookmarkStart w:id="16" w:name="_Hlk163939480"/>
      <w:r w:rsidRPr="000D7389">
        <w:rPr>
          <w:rFonts w:eastAsiaTheme="minorEastAsia"/>
          <w:color w:val="auto"/>
        </w:rPr>
        <w:t>，根据南通市通州区土地储备中心提供资料，地块红线图见图</w:t>
      </w:r>
      <w:r w:rsidRPr="000D7389">
        <w:rPr>
          <w:rFonts w:eastAsiaTheme="minorEastAsia"/>
          <w:color w:val="auto"/>
        </w:rPr>
        <w:t>2.2-2</w:t>
      </w:r>
      <w:r w:rsidRPr="000D7389">
        <w:rPr>
          <w:rFonts w:eastAsiaTheme="minorEastAsia"/>
          <w:color w:val="auto"/>
        </w:rPr>
        <w:t>，</w:t>
      </w:r>
      <w:r w:rsidRPr="000D7389">
        <w:rPr>
          <w:rFonts w:eastAsiaTheme="minorEastAsia"/>
          <w:color w:val="auto"/>
          <w:lang w:val="en-US"/>
        </w:rPr>
        <w:t>地块调查</w:t>
      </w:r>
      <w:r w:rsidRPr="000D7389">
        <w:rPr>
          <w:rFonts w:eastAsiaTheme="minorEastAsia"/>
          <w:color w:val="auto"/>
        </w:rPr>
        <w:t>范围拐点图见图</w:t>
      </w:r>
      <w:bookmarkEnd w:id="15"/>
      <w:bookmarkEnd w:id="16"/>
      <w:r w:rsidRPr="000D7389">
        <w:rPr>
          <w:rFonts w:eastAsiaTheme="minorEastAsia"/>
          <w:color w:val="auto"/>
        </w:rPr>
        <w:t>2.2-3</w:t>
      </w:r>
      <w:r w:rsidRPr="000D7389">
        <w:rPr>
          <w:rFonts w:eastAsiaTheme="minorEastAsia"/>
          <w:color w:val="auto"/>
        </w:rPr>
        <w:t>，具体拐点坐标见表</w:t>
      </w:r>
      <w:r w:rsidRPr="000D7389">
        <w:rPr>
          <w:rFonts w:eastAsiaTheme="minorEastAsia"/>
          <w:color w:val="auto"/>
        </w:rPr>
        <w:t>2.2-1</w:t>
      </w:r>
      <w:r w:rsidRPr="000D7389">
        <w:rPr>
          <w:rFonts w:eastAsiaTheme="minorEastAsia"/>
          <w:color w:val="auto"/>
        </w:rPr>
        <w:t>。</w:t>
      </w:r>
    </w:p>
    <w:p w14:paraId="037CD803" w14:textId="77777777" w:rsidR="00431DFC" w:rsidRPr="000D7389" w:rsidRDefault="00431DFC" w:rsidP="00431DFC">
      <w:pPr>
        <w:adjustRightInd w:val="0"/>
        <w:snapToGrid w:val="0"/>
        <w:spacing w:beforeLines="100" w:before="240" w:line="360" w:lineRule="auto"/>
        <w:jc w:val="center"/>
        <w:rPr>
          <w:rFonts w:eastAsiaTheme="minorEastAsia" w:cs="Times New Roman"/>
        </w:rPr>
      </w:pPr>
      <w:r w:rsidRPr="000D7389">
        <w:rPr>
          <w:rFonts w:eastAsiaTheme="minorEastAsia" w:cs="Times New Roman"/>
          <w:noProof/>
        </w:rPr>
        <w:drawing>
          <wp:inline distT="0" distB="0" distL="0" distR="0" wp14:anchorId="7EF66E1E" wp14:editId="4EEB704E">
            <wp:extent cx="5274945" cy="3746500"/>
            <wp:effectExtent l="0" t="0" r="1905" b="6350"/>
            <wp:docPr id="21159790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945" cy="3746500"/>
                    </a:xfrm>
                    <a:prstGeom prst="rect">
                      <a:avLst/>
                    </a:prstGeom>
                    <a:noFill/>
                    <a:ln>
                      <a:noFill/>
                    </a:ln>
                  </pic:spPr>
                </pic:pic>
              </a:graphicData>
            </a:graphic>
          </wp:inline>
        </w:drawing>
      </w:r>
    </w:p>
    <w:p w14:paraId="67779A71" w14:textId="77777777" w:rsidR="00431DFC" w:rsidRPr="000D7389" w:rsidRDefault="00431DFC" w:rsidP="00431DFC">
      <w:pPr>
        <w:adjustRightInd w:val="0"/>
        <w:snapToGrid w:val="0"/>
        <w:spacing w:line="360" w:lineRule="auto"/>
        <w:jc w:val="center"/>
        <w:rPr>
          <w:rFonts w:eastAsiaTheme="minorEastAsia" w:cs="Times New Roman"/>
          <w:b/>
          <w:bCs/>
          <w:sz w:val="21"/>
          <w:szCs w:val="21"/>
        </w:rPr>
      </w:pPr>
      <w:r w:rsidRPr="000D7389">
        <w:rPr>
          <w:rFonts w:eastAsiaTheme="minorEastAsia" w:cs="Times New Roman"/>
          <w:b/>
          <w:bCs/>
          <w:sz w:val="21"/>
          <w:szCs w:val="21"/>
        </w:rPr>
        <w:t>图</w:t>
      </w:r>
      <w:r w:rsidRPr="000D7389">
        <w:rPr>
          <w:rFonts w:eastAsiaTheme="minorEastAsia" w:cs="Times New Roman"/>
          <w:b/>
          <w:bCs/>
          <w:sz w:val="21"/>
          <w:szCs w:val="21"/>
        </w:rPr>
        <w:t>2.2-1</w:t>
      </w:r>
      <w:r w:rsidRPr="000D7389">
        <w:rPr>
          <w:rFonts w:eastAsiaTheme="minorEastAsia" w:cs="Times New Roman"/>
          <w:b/>
          <w:bCs/>
          <w:sz w:val="21"/>
          <w:szCs w:val="21"/>
        </w:rPr>
        <w:t>地块具体位置图</w:t>
      </w:r>
    </w:p>
    <w:p w14:paraId="726CD975" w14:textId="77777777" w:rsidR="00431DFC" w:rsidRPr="000D7389" w:rsidRDefault="00431DFC" w:rsidP="00431DFC">
      <w:pPr>
        <w:pStyle w:val="affff7"/>
        <w:spacing w:line="360" w:lineRule="auto"/>
        <w:rPr>
          <w:rFonts w:ascii="Times New Roman" w:eastAsiaTheme="minorEastAsia" w:hAnsi="Times New Roman" w:cs="Times New Roman"/>
        </w:rPr>
      </w:pPr>
      <w:r w:rsidRPr="000D7389">
        <w:rPr>
          <w:rFonts w:ascii="Times New Roman" w:eastAsiaTheme="minorEastAsia" w:hAnsi="Times New Roman" w:cs="Times New Roman"/>
          <w:noProof/>
        </w:rPr>
        <w:lastRenderedPageBreak/>
        <w:drawing>
          <wp:inline distT="0" distB="0" distL="0" distR="0" wp14:anchorId="39404078" wp14:editId="2BC5E1FE">
            <wp:extent cx="5274945" cy="4220210"/>
            <wp:effectExtent l="0" t="0" r="1905" b="8890"/>
            <wp:docPr id="9876293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945" cy="4220210"/>
                    </a:xfrm>
                    <a:prstGeom prst="rect">
                      <a:avLst/>
                    </a:prstGeom>
                    <a:noFill/>
                    <a:ln>
                      <a:noFill/>
                    </a:ln>
                  </pic:spPr>
                </pic:pic>
              </a:graphicData>
            </a:graphic>
          </wp:inline>
        </w:drawing>
      </w:r>
    </w:p>
    <w:p w14:paraId="54DF59BC" w14:textId="77777777" w:rsidR="00431DFC" w:rsidRPr="000D7389" w:rsidRDefault="00431DFC" w:rsidP="00431DFC">
      <w:pPr>
        <w:pStyle w:val="affff7"/>
        <w:spacing w:line="360" w:lineRule="auto"/>
        <w:rPr>
          <w:rFonts w:ascii="Times New Roman" w:eastAsiaTheme="minorEastAsia" w:hAnsi="Times New Roman" w:cs="Times New Roman"/>
          <w:b/>
          <w:bCs/>
          <w:sz w:val="21"/>
          <w:szCs w:val="21"/>
        </w:rPr>
      </w:pPr>
      <w:bookmarkStart w:id="17" w:name="_Hlk167872914"/>
      <w:r w:rsidRPr="000D7389">
        <w:rPr>
          <w:rFonts w:ascii="Times New Roman" w:eastAsiaTheme="minorEastAsia" w:hAnsi="Times New Roman" w:cs="Times New Roman"/>
          <w:b/>
          <w:bCs/>
          <w:sz w:val="21"/>
          <w:szCs w:val="21"/>
        </w:rPr>
        <w:t>图</w:t>
      </w:r>
      <w:r w:rsidRPr="000D7389">
        <w:rPr>
          <w:rFonts w:ascii="Times New Roman" w:eastAsiaTheme="minorEastAsia" w:hAnsi="Times New Roman" w:cs="Times New Roman"/>
          <w:b/>
          <w:bCs/>
          <w:sz w:val="21"/>
          <w:szCs w:val="21"/>
        </w:rPr>
        <w:t>2.2-2</w:t>
      </w:r>
      <w:r w:rsidRPr="000D7389">
        <w:rPr>
          <w:rFonts w:ascii="Times New Roman" w:eastAsiaTheme="minorEastAsia" w:hAnsi="Times New Roman" w:cs="Times New Roman"/>
          <w:b/>
          <w:bCs/>
          <w:sz w:val="21"/>
          <w:szCs w:val="21"/>
        </w:rPr>
        <w:t>地块红线图</w:t>
      </w:r>
      <w:bookmarkEnd w:id="17"/>
    </w:p>
    <w:p w14:paraId="1782616F" w14:textId="77777777" w:rsidR="00431DFC" w:rsidRPr="000D7389" w:rsidRDefault="00431DFC" w:rsidP="00431DFC">
      <w:pPr>
        <w:pStyle w:val="-0"/>
        <w:spacing w:line="360" w:lineRule="auto"/>
        <w:ind w:firstLineChars="0" w:firstLine="0"/>
        <w:jc w:val="center"/>
        <w:rPr>
          <w:rFonts w:eastAsiaTheme="minorEastAsia"/>
          <w:color w:val="auto"/>
          <w:lang w:val="en-US"/>
        </w:rPr>
      </w:pPr>
      <w:r w:rsidRPr="000D7389">
        <w:rPr>
          <w:rFonts w:eastAsiaTheme="minorEastAsia"/>
          <w:noProof/>
        </w:rPr>
        <w:drawing>
          <wp:inline distT="0" distB="0" distL="0" distR="0" wp14:anchorId="2BE33206" wp14:editId="4602D796">
            <wp:extent cx="5274945" cy="3060700"/>
            <wp:effectExtent l="0" t="0" r="1905" b="6350"/>
            <wp:docPr id="20079010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1059" name=""/>
                    <pic:cNvPicPr/>
                  </pic:nvPicPr>
                  <pic:blipFill>
                    <a:blip r:embed="rId13"/>
                    <a:stretch>
                      <a:fillRect/>
                    </a:stretch>
                  </pic:blipFill>
                  <pic:spPr>
                    <a:xfrm>
                      <a:off x="0" y="0"/>
                      <a:ext cx="5274945" cy="3060700"/>
                    </a:xfrm>
                    <a:prstGeom prst="rect">
                      <a:avLst/>
                    </a:prstGeom>
                  </pic:spPr>
                </pic:pic>
              </a:graphicData>
            </a:graphic>
          </wp:inline>
        </w:drawing>
      </w:r>
    </w:p>
    <w:p w14:paraId="7FE09485" w14:textId="77777777" w:rsidR="00431DFC" w:rsidRPr="000D7389" w:rsidRDefault="00431DFC" w:rsidP="00431DFC">
      <w:pPr>
        <w:spacing w:line="360" w:lineRule="auto"/>
        <w:jc w:val="center"/>
        <w:rPr>
          <w:rFonts w:eastAsiaTheme="minorEastAsia" w:cs="Times New Roman"/>
          <w:b/>
          <w:bCs/>
          <w:sz w:val="21"/>
          <w:szCs w:val="21"/>
        </w:rPr>
      </w:pPr>
      <w:r w:rsidRPr="000D7389">
        <w:rPr>
          <w:rFonts w:eastAsiaTheme="minorEastAsia" w:cs="Times New Roman"/>
          <w:b/>
          <w:bCs/>
          <w:sz w:val="21"/>
          <w:szCs w:val="21"/>
        </w:rPr>
        <w:t>图</w:t>
      </w:r>
      <w:r w:rsidRPr="000D7389">
        <w:rPr>
          <w:rFonts w:eastAsiaTheme="minorEastAsia" w:cs="Times New Roman"/>
          <w:b/>
          <w:bCs/>
          <w:sz w:val="21"/>
          <w:szCs w:val="21"/>
        </w:rPr>
        <w:t xml:space="preserve">2.2-3 </w:t>
      </w:r>
      <w:r w:rsidRPr="000D7389">
        <w:rPr>
          <w:rFonts w:eastAsiaTheme="minorEastAsia" w:cs="Times New Roman"/>
          <w:b/>
          <w:bCs/>
          <w:sz w:val="21"/>
          <w:szCs w:val="21"/>
        </w:rPr>
        <w:t>地块调查范围拐点图</w:t>
      </w:r>
    </w:p>
    <w:p w14:paraId="65AEB12B" w14:textId="77777777" w:rsidR="00431DFC" w:rsidRPr="000D7389" w:rsidRDefault="00431DFC" w:rsidP="00431DFC">
      <w:pPr>
        <w:spacing w:line="360" w:lineRule="auto"/>
        <w:jc w:val="center"/>
        <w:rPr>
          <w:rFonts w:eastAsiaTheme="minorEastAsia" w:cs="Times New Roman"/>
          <w:b/>
          <w:bCs/>
          <w:sz w:val="21"/>
          <w:szCs w:val="21"/>
        </w:rPr>
      </w:pPr>
      <w:r w:rsidRPr="000D7389">
        <w:rPr>
          <w:rFonts w:eastAsiaTheme="minorEastAsia" w:cs="Times New Roman"/>
          <w:b/>
          <w:bCs/>
          <w:sz w:val="21"/>
          <w:szCs w:val="21"/>
        </w:rPr>
        <w:t>表</w:t>
      </w:r>
      <w:r w:rsidRPr="000D7389">
        <w:rPr>
          <w:rFonts w:eastAsiaTheme="minorEastAsia" w:cs="Times New Roman"/>
          <w:b/>
          <w:bCs/>
          <w:sz w:val="21"/>
          <w:szCs w:val="21"/>
        </w:rPr>
        <w:t>2.2.-1</w:t>
      </w:r>
      <w:r w:rsidRPr="000D7389">
        <w:rPr>
          <w:rFonts w:eastAsiaTheme="minorEastAsia" w:cs="Times New Roman"/>
          <w:b/>
          <w:bCs/>
          <w:sz w:val="21"/>
          <w:szCs w:val="21"/>
        </w:rPr>
        <w:t>调查场地拐点坐标</w:t>
      </w:r>
    </w:p>
    <w:tbl>
      <w:tblPr>
        <w:tblStyle w:val="TableNormal"/>
        <w:tblW w:w="499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419"/>
        <w:gridCol w:w="3419"/>
      </w:tblGrid>
      <w:tr w:rsidR="00431DFC" w:rsidRPr="000D7389" w14:paraId="04E4BBD8" w14:textId="77777777" w:rsidTr="00226B07">
        <w:trPr>
          <w:trHeight w:val="340"/>
        </w:trPr>
        <w:tc>
          <w:tcPr>
            <w:tcW w:w="876" w:type="pct"/>
            <w:vAlign w:val="center"/>
          </w:tcPr>
          <w:p w14:paraId="79CFAC63" w14:textId="77777777" w:rsidR="00431DFC" w:rsidRPr="000D7389" w:rsidRDefault="00431DFC" w:rsidP="00226B07">
            <w:pPr>
              <w:pStyle w:val="af2"/>
              <w:rPr>
                <w:rFonts w:eastAsiaTheme="minorEastAsia"/>
                <w:b/>
                <w:bCs/>
                <w:color w:val="auto"/>
              </w:rPr>
            </w:pPr>
            <w:r w:rsidRPr="000D7389">
              <w:rPr>
                <w:rFonts w:eastAsiaTheme="minorEastAsia"/>
                <w:b/>
                <w:bCs/>
                <w:color w:val="auto"/>
              </w:rPr>
              <w:t>拐点</w:t>
            </w:r>
          </w:p>
        </w:tc>
        <w:tc>
          <w:tcPr>
            <w:tcW w:w="2062" w:type="pct"/>
            <w:vAlign w:val="center"/>
          </w:tcPr>
          <w:p w14:paraId="2F155624" w14:textId="77777777" w:rsidR="00431DFC" w:rsidRPr="000D7389" w:rsidRDefault="00431DFC" w:rsidP="00226B07">
            <w:pPr>
              <w:pStyle w:val="af2"/>
              <w:rPr>
                <w:rFonts w:eastAsiaTheme="minorEastAsia"/>
                <w:b/>
                <w:bCs/>
                <w:color w:val="auto"/>
              </w:rPr>
            </w:pPr>
            <w:r w:rsidRPr="000D7389">
              <w:rPr>
                <w:rFonts w:eastAsiaTheme="minorEastAsia"/>
                <w:b/>
                <w:bCs/>
                <w:color w:val="auto"/>
              </w:rPr>
              <w:t>X</w:t>
            </w:r>
          </w:p>
        </w:tc>
        <w:tc>
          <w:tcPr>
            <w:tcW w:w="2062" w:type="pct"/>
            <w:vAlign w:val="center"/>
          </w:tcPr>
          <w:p w14:paraId="60966670" w14:textId="77777777" w:rsidR="00431DFC" w:rsidRPr="000D7389" w:rsidRDefault="00431DFC" w:rsidP="00226B07">
            <w:pPr>
              <w:pStyle w:val="af2"/>
              <w:rPr>
                <w:rFonts w:eastAsiaTheme="minorEastAsia"/>
                <w:b/>
                <w:bCs/>
                <w:color w:val="auto"/>
              </w:rPr>
            </w:pPr>
            <w:r w:rsidRPr="000D7389">
              <w:rPr>
                <w:rFonts w:eastAsiaTheme="minorEastAsia"/>
                <w:b/>
                <w:bCs/>
                <w:color w:val="auto"/>
              </w:rPr>
              <w:t>Y</w:t>
            </w:r>
          </w:p>
        </w:tc>
      </w:tr>
      <w:tr w:rsidR="00431DFC" w:rsidRPr="000D7389" w14:paraId="074DC6A3" w14:textId="77777777" w:rsidTr="00226B07">
        <w:trPr>
          <w:trHeight w:val="340"/>
        </w:trPr>
        <w:tc>
          <w:tcPr>
            <w:tcW w:w="876" w:type="pct"/>
            <w:vAlign w:val="center"/>
          </w:tcPr>
          <w:p w14:paraId="56070930" w14:textId="77777777" w:rsidR="00431DFC" w:rsidRPr="000D7389" w:rsidRDefault="00431DFC" w:rsidP="00226B07">
            <w:pPr>
              <w:pStyle w:val="af2"/>
              <w:rPr>
                <w:rFonts w:eastAsiaTheme="minorEastAsia"/>
                <w:color w:val="auto"/>
              </w:rPr>
            </w:pPr>
            <w:r w:rsidRPr="000D7389">
              <w:rPr>
                <w:rFonts w:eastAsiaTheme="minorEastAsia"/>
                <w:color w:val="auto"/>
              </w:rPr>
              <w:t>J1</w:t>
            </w:r>
          </w:p>
        </w:tc>
        <w:tc>
          <w:tcPr>
            <w:tcW w:w="2062" w:type="pct"/>
            <w:vAlign w:val="center"/>
          </w:tcPr>
          <w:p w14:paraId="66F8475C" w14:textId="77777777" w:rsidR="00431DFC" w:rsidRPr="000D7389" w:rsidRDefault="00431DFC" w:rsidP="00226B07">
            <w:pPr>
              <w:pStyle w:val="af2"/>
              <w:rPr>
                <w:rFonts w:eastAsiaTheme="minorEastAsia"/>
                <w:color w:val="auto"/>
              </w:rPr>
            </w:pPr>
            <w:r w:rsidRPr="000D7389">
              <w:rPr>
                <w:rFonts w:eastAsiaTheme="minorEastAsia"/>
                <w:color w:val="auto"/>
              </w:rPr>
              <w:t>3553726.087</w:t>
            </w:r>
          </w:p>
        </w:tc>
        <w:tc>
          <w:tcPr>
            <w:tcW w:w="2062" w:type="pct"/>
            <w:vAlign w:val="center"/>
          </w:tcPr>
          <w:p w14:paraId="5DD674DA" w14:textId="77777777" w:rsidR="00431DFC" w:rsidRPr="000D7389" w:rsidRDefault="00431DFC" w:rsidP="00226B07">
            <w:pPr>
              <w:pStyle w:val="af2"/>
              <w:rPr>
                <w:rFonts w:eastAsiaTheme="minorEastAsia"/>
                <w:color w:val="auto"/>
              </w:rPr>
            </w:pPr>
            <w:r w:rsidRPr="000D7389">
              <w:rPr>
                <w:rFonts w:eastAsiaTheme="minorEastAsia"/>
                <w:color w:val="auto"/>
              </w:rPr>
              <w:t>40610592.327</w:t>
            </w:r>
          </w:p>
        </w:tc>
      </w:tr>
      <w:tr w:rsidR="00431DFC" w:rsidRPr="000D7389" w14:paraId="0D8A3CCD" w14:textId="77777777" w:rsidTr="00226B07">
        <w:trPr>
          <w:trHeight w:val="340"/>
        </w:trPr>
        <w:tc>
          <w:tcPr>
            <w:tcW w:w="876" w:type="pct"/>
            <w:vAlign w:val="center"/>
          </w:tcPr>
          <w:p w14:paraId="4DC9FCDB" w14:textId="77777777" w:rsidR="00431DFC" w:rsidRPr="000D7389" w:rsidRDefault="00431DFC" w:rsidP="00226B07">
            <w:pPr>
              <w:pStyle w:val="af2"/>
              <w:rPr>
                <w:rFonts w:eastAsiaTheme="minorEastAsia"/>
                <w:color w:val="auto"/>
              </w:rPr>
            </w:pPr>
            <w:r w:rsidRPr="000D7389">
              <w:rPr>
                <w:rFonts w:eastAsiaTheme="minorEastAsia"/>
                <w:color w:val="auto"/>
              </w:rPr>
              <w:lastRenderedPageBreak/>
              <w:t>J2</w:t>
            </w:r>
          </w:p>
        </w:tc>
        <w:tc>
          <w:tcPr>
            <w:tcW w:w="2062" w:type="pct"/>
            <w:vAlign w:val="center"/>
          </w:tcPr>
          <w:p w14:paraId="58F64CC0" w14:textId="77777777" w:rsidR="00431DFC" w:rsidRPr="000D7389" w:rsidRDefault="00431DFC" w:rsidP="00226B07">
            <w:pPr>
              <w:pStyle w:val="af2"/>
              <w:rPr>
                <w:rFonts w:eastAsiaTheme="minorEastAsia"/>
                <w:color w:val="auto"/>
              </w:rPr>
            </w:pPr>
            <w:r w:rsidRPr="000D7389">
              <w:rPr>
                <w:rFonts w:eastAsiaTheme="minorEastAsia"/>
                <w:color w:val="auto"/>
              </w:rPr>
              <w:t>3553565.995</w:t>
            </w:r>
          </w:p>
        </w:tc>
        <w:tc>
          <w:tcPr>
            <w:tcW w:w="2062" w:type="pct"/>
            <w:vAlign w:val="center"/>
          </w:tcPr>
          <w:p w14:paraId="7BEB50DE" w14:textId="77777777" w:rsidR="00431DFC" w:rsidRPr="000D7389" w:rsidRDefault="00431DFC" w:rsidP="00226B07">
            <w:pPr>
              <w:pStyle w:val="af2"/>
              <w:rPr>
                <w:rFonts w:eastAsiaTheme="minorEastAsia"/>
                <w:color w:val="auto"/>
              </w:rPr>
            </w:pPr>
            <w:r w:rsidRPr="000D7389">
              <w:rPr>
                <w:rFonts w:eastAsiaTheme="minorEastAsia"/>
                <w:color w:val="auto"/>
              </w:rPr>
              <w:t>406100505.965</w:t>
            </w:r>
          </w:p>
        </w:tc>
      </w:tr>
      <w:tr w:rsidR="00431DFC" w:rsidRPr="000D7389" w14:paraId="0591DDA3" w14:textId="77777777" w:rsidTr="00226B07">
        <w:trPr>
          <w:trHeight w:val="340"/>
        </w:trPr>
        <w:tc>
          <w:tcPr>
            <w:tcW w:w="876" w:type="pct"/>
            <w:vAlign w:val="center"/>
          </w:tcPr>
          <w:p w14:paraId="0B4B4A89" w14:textId="77777777" w:rsidR="00431DFC" w:rsidRPr="000D7389" w:rsidRDefault="00431DFC" w:rsidP="00226B07">
            <w:pPr>
              <w:pStyle w:val="af2"/>
              <w:rPr>
                <w:rFonts w:eastAsiaTheme="minorEastAsia"/>
                <w:color w:val="auto"/>
              </w:rPr>
            </w:pPr>
            <w:r w:rsidRPr="000D7389">
              <w:rPr>
                <w:rFonts w:eastAsiaTheme="minorEastAsia"/>
                <w:color w:val="auto"/>
              </w:rPr>
              <w:t>J3</w:t>
            </w:r>
          </w:p>
        </w:tc>
        <w:tc>
          <w:tcPr>
            <w:tcW w:w="2062" w:type="pct"/>
            <w:vAlign w:val="center"/>
          </w:tcPr>
          <w:p w14:paraId="627716E0" w14:textId="77777777" w:rsidR="00431DFC" w:rsidRPr="000D7389" w:rsidRDefault="00431DFC" w:rsidP="00226B07">
            <w:pPr>
              <w:pStyle w:val="af2"/>
              <w:rPr>
                <w:rFonts w:eastAsiaTheme="minorEastAsia"/>
                <w:color w:val="auto"/>
              </w:rPr>
            </w:pPr>
            <w:r w:rsidRPr="000D7389">
              <w:rPr>
                <w:rFonts w:eastAsiaTheme="minorEastAsia"/>
                <w:color w:val="auto"/>
              </w:rPr>
              <w:t>3553534.048</w:t>
            </w:r>
          </w:p>
        </w:tc>
        <w:tc>
          <w:tcPr>
            <w:tcW w:w="2062" w:type="pct"/>
            <w:vAlign w:val="center"/>
          </w:tcPr>
          <w:p w14:paraId="0DB5768E" w14:textId="77777777" w:rsidR="00431DFC" w:rsidRPr="000D7389" w:rsidRDefault="00431DFC" w:rsidP="00226B07">
            <w:pPr>
              <w:pStyle w:val="af2"/>
              <w:rPr>
                <w:rFonts w:eastAsiaTheme="minorEastAsia"/>
                <w:color w:val="auto"/>
              </w:rPr>
            </w:pPr>
            <w:r w:rsidRPr="000D7389">
              <w:rPr>
                <w:rFonts w:eastAsiaTheme="minorEastAsia"/>
                <w:color w:val="auto"/>
              </w:rPr>
              <w:t>40610641.893</w:t>
            </w:r>
          </w:p>
        </w:tc>
      </w:tr>
      <w:tr w:rsidR="00431DFC" w:rsidRPr="000D7389" w14:paraId="190F4659" w14:textId="77777777" w:rsidTr="00226B07">
        <w:trPr>
          <w:trHeight w:val="340"/>
        </w:trPr>
        <w:tc>
          <w:tcPr>
            <w:tcW w:w="876" w:type="pct"/>
            <w:vAlign w:val="center"/>
          </w:tcPr>
          <w:p w14:paraId="47F06498" w14:textId="77777777" w:rsidR="00431DFC" w:rsidRPr="000D7389" w:rsidRDefault="00431DFC" w:rsidP="00226B07">
            <w:pPr>
              <w:pStyle w:val="af2"/>
              <w:rPr>
                <w:rFonts w:eastAsiaTheme="minorEastAsia"/>
                <w:color w:val="auto"/>
              </w:rPr>
            </w:pPr>
            <w:r w:rsidRPr="000D7389">
              <w:rPr>
                <w:rFonts w:eastAsiaTheme="minorEastAsia"/>
                <w:color w:val="auto"/>
              </w:rPr>
              <w:t>J4</w:t>
            </w:r>
          </w:p>
        </w:tc>
        <w:tc>
          <w:tcPr>
            <w:tcW w:w="2062" w:type="pct"/>
            <w:vAlign w:val="center"/>
          </w:tcPr>
          <w:p w14:paraId="6C5005C4" w14:textId="77777777" w:rsidR="00431DFC" w:rsidRPr="000D7389" w:rsidRDefault="00431DFC" w:rsidP="00226B07">
            <w:pPr>
              <w:pStyle w:val="af2"/>
              <w:rPr>
                <w:rFonts w:eastAsiaTheme="minorEastAsia"/>
                <w:color w:val="auto"/>
              </w:rPr>
            </w:pPr>
            <w:r w:rsidRPr="000D7389">
              <w:rPr>
                <w:rFonts w:eastAsiaTheme="minorEastAsia"/>
                <w:color w:val="auto"/>
              </w:rPr>
              <w:t>3553694.050</w:t>
            </w:r>
          </w:p>
        </w:tc>
        <w:tc>
          <w:tcPr>
            <w:tcW w:w="2062" w:type="pct"/>
            <w:vAlign w:val="center"/>
          </w:tcPr>
          <w:p w14:paraId="54FA1548" w14:textId="77777777" w:rsidR="00431DFC" w:rsidRPr="000D7389" w:rsidRDefault="00431DFC" w:rsidP="00226B07">
            <w:pPr>
              <w:pStyle w:val="af2"/>
              <w:rPr>
                <w:rFonts w:eastAsiaTheme="minorEastAsia"/>
                <w:color w:val="auto"/>
              </w:rPr>
            </w:pPr>
            <w:r w:rsidRPr="000D7389">
              <w:rPr>
                <w:rFonts w:eastAsiaTheme="minorEastAsia"/>
                <w:color w:val="auto"/>
              </w:rPr>
              <w:t>406107285.206</w:t>
            </w:r>
          </w:p>
        </w:tc>
      </w:tr>
    </w:tbl>
    <w:p w14:paraId="7A0A79FA" w14:textId="1797B82D" w:rsidR="00431DFC" w:rsidRPr="000D7389" w:rsidRDefault="00431DFC" w:rsidP="00431DFC">
      <w:pPr>
        <w:pStyle w:val="af3"/>
        <w:spacing w:line="360" w:lineRule="auto"/>
        <w:rPr>
          <w:rFonts w:eastAsiaTheme="minorEastAsia" w:hint="eastAsia"/>
          <w:color w:val="auto"/>
        </w:rPr>
        <w:sectPr w:rsidR="00431DFC" w:rsidRPr="000D7389" w:rsidSect="00431DFC">
          <w:footerReference w:type="default" r:id="rId14"/>
          <w:pgSz w:w="11907" w:h="16839"/>
          <w:pgMar w:top="1440" w:right="1800" w:bottom="1440" w:left="1800" w:header="850" w:footer="992" w:gutter="0"/>
          <w:pgNumType w:start="1"/>
          <w:cols w:space="720"/>
          <w:docGrid w:linePitch="326"/>
        </w:sectPr>
      </w:pPr>
      <w:r w:rsidRPr="000D7389">
        <w:rPr>
          <w:rFonts w:eastAsiaTheme="minorEastAsia"/>
          <w:b/>
          <w:bCs/>
          <w:color w:val="auto"/>
        </w:rPr>
        <w:t>注：坐标系为</w:t>
      </w:r>
      <w:r w:rsidRPr="000D7389">
        <w:rPr>
          <w:rFonts w:eastAsiaTheme="minorEastAsia"/>
          <w:b/>
          <w:bCs/>
          <w:color w:val="auto"/>
        </w:rPr>
        <w:t>2000</w:t>
      </w:r>
      <w:r w:rsidRPr="000D7389">
        <w:rPr>
          <w:rFonts w:eastAsiaTheme="minorEastAsia"/>
          <w:b/>
          <w:bCs/>
          <w:color w:val="auto"/>
        </w:rPr>
        <w:t>国家大地坐标系</w:t>
      </w:r>
    </w:p>
    <w:p w14:paraId="1610F880" w14:textId="25429B7D" w:rsidR="00A94D8A" w:rsidRPr="009F51F2" w:rsidRDefault="00A94D8A" w:rsidP="00A94D8A">
      <w:pPr>
        <w:pStyle w:val="2"/>
        <w:spacing w:before="120" w:after="120"/>
        <w:rPr>
          <w:rFonts w:eastAsiaTheme="minorEastAsia"/>
        </w:rPr>
      </w:pPr>
      <w:r w:rsidRPr="009F51F2">
        <w:rPr>
          <w:rFonts w:eastAsiaTheme="minorEastAsia"/>
        </w:rPr>
        <w:lastRenderedPageBreak/>
        <w:t>地块</w:t>
      </w:r>
      <w:bookmarkEnd w:id="12"/>
      <w:r w:rsidRPr="009F51F2">
        <w:rPr>
          <w:rFonts w:eastAsiaTheme="minorEastAsia"/>
        </w:rPr>
        <w:t>规划</w:t>
      </w:r>
    </w:p>
    <w:p w14:paraId="3B7D0797" w14:textId="674A4421" w:rsidR="00431DFC" w:rsidRDefault="00431DFC" w:rsidP="00431DFC">
      <w:pPr>
        <w:pStyle w:val="-0"/>
        <w:rPr>
          <w:rFonts w:eastAsiaTheme="minorEastAsia" w:hint="eastAsia"/>
          <w:color w:val="auto"/>
          <w:lang w:val="en-US"/>
        </w:rPr>
      </w:pPr>
      <w:bookmarkStart w:id="18" w:name="_Hlk164627688"/>
      <w:r w:rsidRPr="000D7389">
        <w:rPr>
          <w:rFonts w:eastAsiaTheme="minorEastAsia"/>
          <w:color w:val="auto"/>
          <w:lang w:val="en-US"/>
        </w:rPr>
        <w:t>根据南通市通州区自然资源与规划局提供的《南通市通州区东社镇</w:t>
      </w:r>
      <w:r w:rsidRPr="000D7389">
        <w:rPr>
          <w:rFonts w:eastAsiaTheme="minorEastAsia"/>
          <w:color w:val="auto"/>
          <w:lang w:val="en-US"/>
        </w:rPr>
        <w:t>TZ-36</w:t>
      </w:r>
      <w:r w:rsidRPr="000D7389">
        <w:rPr>
          <w:rFonts w:eastAsiaTheme="minorEastAsia"/>
          <w:color w:val="auto"/>
          <w:lang w:val="en-US"/>
        </w:rPr>
        <w:t>单元</w:t>
      </w:r>
      <w:r w:rsidRPr="000D7389">
        <w:rPr>
          <w:rFonts w:eastAsiaTheme="minorEastAsia"/>
          <w:color w:val="auto"/>
          <w:lang w:val="en-US"/>
        </w:rPr>
        <w:t>02</w:t>
      </w:r>
      <w:r w:rsidRPr="000D7389">
        <w:rPr>
          <w:rFonts w:eastAsiaTheme="minorEastAsia"/>
          <w:color w:val="auto"/>
          <w:lang w:val="en-US"/>
        </w:rPr>
        <w:t>街区详细规划》，该地块规划用地性质为商住混合用地。地块规划图见图</w:t>
      </w:r>
      <w:r w:rsidRPr="000D7389">
        <w:rPr>
          <w:rFonts w:eastAsiaTheme="minorEastAsia"/>
          <w:color w:val="auto"/>
          <w:lang w:val="en-US"/>
        </w:rPr>
        <w:t>3.5-1</w:t>
      </w:r>
      <w:r w:rsidRPr="000D7389">
        <w:rPr>
          <w:rFonts w:eastAsiaTheme="minorEastAsia"/>
          <w:color w:val="auto"/>
          <w:lang w:val="en-US"/>
        </w:rPr>
        <w:t>。</w:t>
      </w:r>
    </w:p>
    <w:p w14:paraId="68ACAA58" w14:textId="4FE234A3" w:rsidR="00431DFC" w:rsidRDefault="00431DFC" w:rsidP="00A94D8A">
      <w:pPr>
        <w:spacing w:line="360" w:lineRule="auto"/>
        <w:jc w:val="center"/>
        <w:rPr>
          <w:rFonts w:eastAsiaTheme="minorEastAsia" w:cs="Times New Roman"/>
          <w:b/>
          <w:bCs/>
          <w:sz w:val="21"/>
          <w:szCs w:val="21"/>
        </w:rPr>
      </w:pPr>
      <w:r w:rsidRPr="000D7389">
        <w:rPr>
          <w:rFonts w:eastAsiaTheme="minorEastAsia"/>
          <w:noProof/>
        </w:rPr>
        <w:drawing>
          <wp:inline distT="0" distB="0" distL="0" distR="0" wp14:anchorId="340A24D6" wp14:editId="0433F47F">
            <wp:extent cx="5120640" cy="3657600"/>
            <wp:effectExtent l="0" t="0" r="3810" b="0"/>
            <wp:docPr id="125791063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1189" cy="3657992"/>
                    </a:xfrm>
                    <a:prstGeom prst="rect">
                      <a:avLst/>
                    </a:prstGeom>
                    <a:noFill/>
                    <a:ln>
                      <a:noFill/>
                    </a:ln>
                  </pic:spPr>
                </pic:pic>
              </a:graphicData>
            </a:graphic>
          </wp:inline>
        </w:drawing>
      </w:r>
    </w:p>
    <w:p w14:paraId="433A4966" w14:textId="67B08AAD" w:rsidR="00A94D8A" w:rsidRPr="009F51F2" w:rsidRDefault="00A94D8A" w:rsidP="00A94D8A">
      <w:pPr>
        <w:spacing w:line="360" w:lineRule="auto"/>
        <w:jc w:val="center"/>
        <w:rPr>
          <w:rFonts w:eastAsiaTheme="minorEastAsia" w:cs="Times New Roman"/>
          <w:b/>
          <w:bCs/>
          <w:sz w:val="21"/>
          <w:szCs w:val="21"/>
        </w:rPr>
        <w:sectPr w:rsidR="00A94D8A" w:rsidRPr="009F51F2" w:rsidSect="00A94D8A">
          <w:headerReference w:type="default" r:id="rId16"/>
          <w:footerReference w:type="default" r:id="rId17"/>
          <w:pgSz w:w="11907" w:h="16839"/>
          <w:pgMar w:top="1800" w:right="1440" w:bottom="1800" w:left="1440" w:header="1110" w:footer="1202" w:gutter="0"/>
          <w:cols w:space="0"/>
          <w:docGrid w:linePitch="326"/>
        </w:sectPr>
      </w:pPr>
      <w:r w:rsidRPr="009F51F2">
        <w:rPr>
          <w:rFonts w:eastAsiaTheme="minorEastAsia" w:cs="Times New Roman"/>
          <w:b/>
          <w:bCs/>
          <w:sz w:val="21"/>
          <w:szCs w:val="21"/>
        </w:rPr>
        <w:t>图</w:t>
      </w:r>
      <w:r w:rsidR="00D92CAD" w:rsidRPr="009F51F2">
        <w:rPr>
          <w:rFonts w:eastAsiaTheme="minorEastAsia" w:cs="Times New Roman"/>
          <w:b/>
          <w:bCs/>
          <w:sz w:val="21"/>
          <w:szCs w:val="21"/>
        </w:rPr>
        <w:t>3</w:t>
      </w:r>
      <w:r w:rsidR="00431DFC">
        <w:rPr>
          <w:rFonts w:eastAsiaTheme="minorEastAsia" w:cs="Times New Roman" w:hint="eastAsia"/>
          <w:b/>
          <w:bCs/>
          <w:sz w:val="21"/>
          <w:szCs w:val="21"/>
        </w:rPr>
        <w:t>.5-1</w:t>
      </w:r>
      <w:r w:rsidRPr="009F51F2">
        <w:rPr>
          <w:rFonts w:eastAsiaTheme="minorEastAsia" w:cs="Times New Roman"/>
          <w:b/>
          <w:bCs/>
          <w:sz w:val="21"/>
          <w:szCs w:val="21"/>
        </w:rPr>
        <w:t xml:space="preserve"> </w:t>
      </w:r>
      <w:r w:rsidRPr="009F51F2">
        <w:rPr>
          <w:rFonts w:eastAsiaTheme="minorEastAsia" w:cs="Times New Roman"/>
          <w:b/>
          <w:bCs/>
          <w:sz w:val="21"/>
          <w:szCs w:val="21"/>
        </w:rPr>
        <w:t>地块规划</w:t>
      </w:r>
    </w:p>
    <w:p w14:paraId="4C50AECC" w14:textId="77777777" w:rsidR="00A94D8A" w:rsidRPr="009F51F2" w:rsidRDefault="00A94D8A" w:rsidP="00A94D8A">
      <w:pPr>
        <w:pStyle w:val="2"/>
        <w:spacing w:before="156" w:after="156"/>
        <w:rPr>
          <w:rFonts w:eastAsiaTheme="minorEastAsia"/>
          <w:color w:val="auto"/>
        </w:rPr>
      </w:pPr>
      <w:bookmarkStart w:id="19" w:name="_bookmark20"/>
      <w:bookmarkStart w:id="20" w:name="_bookmark19"/>
      <w:bookmarkStart w:id="21" w:name="_bookmark18"/>
      <w:bookmarkStart w:id="22" w:name="_bookmark21"/>
      <w:bookmarkStart w:id="23" w:name="_bookmark22"/>
      <w:bookmarkStart w:id="24" w:name="_bookmark39"/>
      <w:bookmarkStart w:id="25" w:name="_Toc165749313"/>
      <w:bookmarkStart w:id="26" w:name="_Toc165749311"/>
      <w:bookmarkEnd w:id="13"/>
      <w:bookmarkEnd w:id="14"/>
      <w:bookmarkEnd w:id="18"/>
      <w:bookmarkEnd w:id="19"/>
      <w:bookmarkEnd w:id="20"/>
      <w:bookmarkEnd w:id="21"/>
      <w:bookmarkEnd w:id="22"/>
      <w:bookmarkEnd w:id="23"/>
      <w:bookmarkEnd w:id="24"/>
      <w:r w:rsidRPr="009F51F2">
        <w:rPr>
          <w:rFonts w:eastAsiaTheme="minorEastAsia"/>
          <w:color w:val="auto"/>
        </w:rPr>
        <w:lastRenderedPageBreak/>
        <w:t>现场踏勘</w:t>
      </w:r>
      <w:bookmarkEnd w:id="25"/>
    </w:p>
    <w:p w14:paraId="5459464D"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2026</w:t>
      </w:r>
      <w:r w:rsidRPr="000D7389">
        <w:rPr>
          <w:rFonts w:eastAsiaTheme="minorEastAsia"/>
          <w:color w:val="auto"/>
        </w:rPr>
        <w:t>年</w:t>
      </w:r>
      <w:r w:rsidRPr="000D7389">
        <w:rPr>
          <w:rFonts w:eastAsiaTheme="minorEastAsia"/>
          <w:color w:val="auto"/>
        </w:rPr>
        <w:t>8</w:t>
      </w:r>
      <w:r w:rsidRPr="000D7389">
        <w:rPr>
          <w:rFonts w:eastAsiaTheme="minorEastAsia"/>
          <w:color w:val="auto"/>
        </w:rPr>
        <w:t>月，项目组对调查地块现状环境进行了现场踏勘，主要成果可概括如下：</w:t>
      </w:r>
    </w:p>
    <w:p w14:paraId="7FEAD840"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w:t>
      </w:r>
      <w:r w:rsidRPr="000D7389">
        <w:rPr>
          <w:rFonts w:eastAsiaTheme="minorEastAsia"/>
          <w:color w:val="auto"/>
        </w:rPr>
        <w:t>1</w:t>
      </w:r>
      <w:r w:rsidRPr="000D7389">
        <w:rPr>
          <w:rFonts w:eastAsiaTheme="minorEastAsia"/>
          <w:color w:val="auto"/>
        </w:rPr>
        <w:t>）调查地块位于通州区东社镇东社社区，东至民华路（规划）、南至绿地、西至西华路（规划）、北至东社社区居民区。</w:t>
      </w:r>
    </w:p>
    <w:p w14:paraId="6F771F1C"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w:t>
      </w:r>
      <w:r w:rsidRPr="000D7389">
        <w:rPr>
          <w:rFonts w:eastAsiaTheme="minorEastAsia"/>
          <w:color w:val="auto"/>
        </w:rPr>
        <w:t>2</w:t>
      </w:r>
      <w:r w:rsidRPr="000D7389">
        <w:rPr>
          <w:rFonts w:eastAsiaTheme="minorEastAsia"/>
          <w:color w:val="auto"/>
        </w:rPr>
        <w:t>）地块上主要为农田和居民区。</w:t>
      </w:r>
    </w:p>
    <w:p w14:paraId="3603E95D" w14:textId="5B902C9F" w:rsidR="00431DFC" w:rsidRPr="00431DFC" w:rsidRDefault="00431DFC" w:rsidP="00431DFC">
      <w:pPr>
        <w:pStyle w:val="-0"/>
        <w:spacing w:line="360" w:lineRule="auto"/>
        <w:rPr>
          <w:rFonts w:eastAsiaTheme="minorEastAsia"/>
          <w:color w:val="auto"/>
        </w:rPr>
      </w:pPr>
      <w:r w:rsidRPr="000D7389">
        <w:rPr>
          <w:rFonts w:eastAsiaTheme="minorEastAsia"/>
          <w:color w:val="auto"/>
        </w:rPr>
        <w:t>（</w:t>
      </w:r>
      <w:r w:rsidRPr="000D7389">
        <w:rPr>
          <w:rFonts w:eastAsiaTheme="minorEastAsia"/>
          <w:color w:val="auto"/>
        </w:rPr>
        <w:t>3</w:t>
      </w:r>
      <w:r w:rsidRPr="000D7389">
        <w:rPr>
          <w:rFonts w:eastAsiaTheme="minorEastAsia"/>
          <w:color w:val="auto"/>
        </w:rPr>
        <w:t>）地块内无刺激性气味，整个区域未发现异常颜色及气味土壤。</w:t>
      </w:r>
      <w:r w:rsidRPr="000D7389">
        <w:rPr>
          <w:rFonts w:eastAsiaTheme="minorEastAsia"/>
          <w:color w:val="auto"/>
        </w:rPr>
        <w:t>2026</w:t>
      </w:r>
      <w:r w:rsidRPr="000D7389">
        <w:rPr>
          <w:rFonts w:eastAsiaTheme="minorEastAsia"/>
          <w:color w:val="auto"/>
        </w:rPr>
        <w:t>年</w:t>
      </w:r>
      <w:r w:rsidRPr="000D7389">
        <w:rPr>
          <w:rFonts w:eastAsiaTheme="minorEastAsia"/>
          <w:color w:val="auto"/>
          <w:lang w:val="en-US"/>
        </w:rPr>
        <w:t>8</w:t>
      </w:r>
      <w:r w:rsidRPr="000D7389">
        <w:rPr>
          <w:rFonts w:eastAsiaTheme="minorEastAsia"/>
          <w:color w:val="auto"/>
        </w:rPr>
        <w:t>月地块内部及相邻区域现场踏勘</w:t>
      </w:r>
      <w:r w:rsidRPr="000D7389">
        <w:rPr>
          <w:rFonts w:eastAsiaTheme="minorEastAsia"/>
          <w:color w:val="auto"/>
          <w:lang w:val="en-US"/>
        </w:rPr>
        <w:t>照片</w:t>
      </w:r>
      <w:r w:rsidRPr="000D7389">
        <w:rPr>
          <w:rFonts w:eastAsiaTheme="minorEastAsia"/>
          <w:color w:val="auto"/>
        </w:rPr>
        <w:t>见图</w:t>
      </w:r>
      <w:r w:rsidRPr="000D7389">
        <w:rPr>
          <w:rFonts w:eastAsiaTheme="minorEastAsia"/>
          <w:color w:val="auto"/>
          <w:lang w:val="en-US"/>
        </w:rPr>
        <w:t>4.2</w:t>
      </w:r>
      <w:r w:rsidRPr="000D7389">
        <w:rPr>
          <w:rFonts w:eastAsiaTheme="minorEastAsia"/>
          <w:color w:val="auto"/>
        </w:rPr>
        <w:t>-1</w:t>
      </w:r>
      <w:r w:rsidRPr="000D7389">
        <w:rPr>
          <w:rFonts w:eastAsiaTheme="minorEastAsia"/>
          <w:color w:val="auto"/>
        </w:rPr>
        <w:t>。</w:t>
      </w:r>
    </w:p>
    <w:p w14:paraId="1184FFB3" w14:textId="77777777" w:rsidR="00431DFC" w:rsidRPr="000D7389" w:rsidRDefault="00431DFC" w:rsidP="00431DFC">
      <w:pPr>
        <w:pStyle w:val="-0"/>
        <w:spacing w:line="360" w:lineRule="auto"/>
        <w:rPr>
          <w:rFonts w:eastAsiaTheme="minorEastAsia"/>
          <w:color w:val="auto"/>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431DFC" w:rsidRPr="000D7389" w14:paraId="420BF9AC" w14:textId="77777777" w:rsidTr="00226B07">
        <w:trPr>
          <w:trHeight w:val="340"/>
        </w:trPr>
        <w:tc>
          <w:tcPr>
            <w:tcW w:w="2500" w:type="pct"/>
            <w:vAlign w:val="center"/>
          </w:tcPr>
          <w:p w14:paraId="365243E1" w14:textId="77777777" w:rsidR="00431DFC" w:rsidRPr="000D7389" w:rsidRDefault="00431DFC" w:rsidP="00226B07">
            <w:pPr>
              <w:pStyle w:val="af2"/>
              <w:rPr>
                <w:rFonts w:eastAsiaTheme="minorEastAsia"/>
                <w:color w:val="auto"/>
              </w:rPr>
            </w:pPr>
            <w:r w:rsidRPr="000D7389">
              <w:rPr>
                <w:rFonts w:eastAsiaTheme="minorEastAsia"/>
                <w:noProof/>
                <w:color w:val="auto"/>
              </w:rPr>
              <w:drawing>
                <wp:inline distT="0" distB="0" distL="0" distR="0" wp14:anchorId="04AC1278" wp14:editId="584D2BE2">
                  <wp:extent cx="2506134" cy="1879223"/>
                  <wp:effectExtent l="0" t="0" r="8890" b="6985"/>
                  <wp:docPr id="92813382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2515" cy="1891506"/>
                          </a:xfrm>
                          <a:prstGeom prst="rect">
                            <a:avLst/>
                          </a:prstGeom>
                          <a:noFill/>
                          <a:ln>
                            <a:noFill/>
                          </a:ln>
                        </pic:spPr>
                      </pic:pic>
                    </a:graphicData>
                  </a:graphic>
                </wp:inline>
              </w:drawing>
            </w:r>
          </w:p>
        </w:tc>
        <w:tc>
          <w:tcPr>
            <w:tcW w:w="2500" w:type="pct"/>
            <w:vAlign w:val="center"/>
          </w:tcPr>
          <w:p w14:paraId="0D02DE04" w14:textId="77777777" w:rsidR="00431DFC" w:rsidRPr="000D7389" w:rsidRDefault="00431DFC" w:rsidP="00226B07">
            <w:pPr>
              <w:pStyle w:val="af2"/>
              <w:rPr>
                <w:rFonts w:eastAsiaTheme="minorEastAsia"/>
                <w:color w:val="auto"/>
              </w:rPr>
            </w:pPr>
            <w:r w:rsidRPr="000D7389">
              <w:rPr>
                <w:rFonts w:eastAsiaTheme="minorEastAsia"/>
                <w:noProof/>
                <w:color w:val="auto"/>
              </w:rPr>
              <w:drawing>
                <wp:inline distT="0" distB="0" distL="0" distR="0" wp14:anchorId="23994FF9" wp14:editId="4B9DD940">
                  <wp:extent cx="2421106" cy="1815465"/>
                  <wp:effectExtent l="0" t="0" r="0" b="0"/>
                  <wp:docPr id="189467216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696" cy="1828655"/>
                          </a:xfrm>
                          <a:prstGeom prst="rect">
                            <a:avLst/>
                          </a:prstGeom>
                          <a:noFill/>
                          <a:ln>
                            <a:noFill/>
                          </a:ln>
                        </pic:spPr>
                      </pic:pic>
                    </a:graphicData>
                  </a:graphic>
                </wp:inline>
              </w:drawing>
            </w:r>
          </w:p>
        </w:tc>
      </w:tr>
      <w:tr w:rsidR="00431DFC" w:rsidRPr="000D7389" w14:paraId="2DE339E7" w14:textId="77777777" w:rsidTr="00226B07">
        <w:trPr>
          <w:trHeight w:val="340"/>
        </w:trPr>
        <w:tc>
          <w:tcPr>
            <w:tcW w:w="5000" w:type="pct"/>
            <w:gridSpan w:val="2"/>
            <w:vAlign w:val="center"/>
          </w:tcPr>
          <w:p w14:paraId="60761A7E" w14:textId="77777777" w:rsidR="00431DFC" w:rsidRPr="000D7389" w:rsidRDefault="00431DFC" w:rsidP="00226B07">
            <w:pPr>
              <w:pStyle w:val="af2"/>
              <w:rPr>
                <w:rFonts w:eastAsiaTheme="minorEastAsia"/>
                <w:noProof/>
                <w:color w:val="auto"/>
              </w:rPr>
            </w:pPr>
            <w:r w:rsidRPr="000D7389">
              <w:rPr>
                <w:rFonts w:eastAsiaTheme="minorEastAsia"/>
                <w:noProof/>
                <w:color w:val="auto"/>
              </w:rPr>
              <w:t>地块内部农作物种植</w:t>
            </w:r>
          </w:p>
        </w:tc>
      </w:tr>
      <w:tr w:rsidR="00431DFC" w:rsidRPr="000D7389" w14:paraId="488A28EC" w14:textId="77777777" w:rsidTr="00226B07">
        <w:trPr>
          <w:trHeight w:val="340"/>
        </w:trPr>
        <w:tc>
          <w:tcPr>
            <w:tcW w:w="2500" w:type="pct"/>
            <w:vAlign w:val="center"/>
          </w:tcPr>
          <w:p w14:paraId="01311C80" w14:textId="77777777" w:rsidR="00431DFC" w:rsidRPr="000D7389" w:rsidRDefault="00431DFC" w:rsidP="00226B07">
            <w:pPr>
              <w:pStyle w:val="af2"/>
              <w:rPr>
                <w:rFonts w:eastAsiaTheme="minorEastAsia"/>
                <w:noProof/>
                <w:color w:val="auto"/>
              </w:rPr>
            </w:pPr>
            <w:r w:rsidRPr="000D7389">
              <w:rPr>
                <w:rFonts w:eastAsiaTheme="minorEastAsia"/>
                <w:noProof/>
                <w:color w:val="auto"/>
              </w:rPr>
              <w:drawing>
                <wp:inline distT="0" distB="0" distL="0" distR="0" wp14:anchorId="01A44545" wp14:editId="16021374">
                  <wp:extent cx="2396547" cy="1797050"/>
                  <wp:effectExtent l="0" t="0" r="3810" b="0"/>
                  <wp:docPr id="107712289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8495" cy="1806009"/>
                          </a:xfrm>
                          <a:prstGeom prst="rect">
                            <a:avLst/>
                          </a:prstGeom>
                          <a:noFill/>
                          <a:ln>
                            <a:noFill/>
                          </a:ln>
                        </pic:spPr>
                      </pic:pic>
                    </a:graphicData>
                  </a:graphic>
                </wp:inline>
              </w:drawing>
            </w:r>
          </w:p>
        </w:tc>
        <w:tc>
          <w:tcPr>
            <w:tcW w:w="2500" w:type="pct"/>
            <w:vAlign w:val="center"/>
          </w:tcPr>
          <w:p w14:paraId="541F1C36" w14:textId="77777777" w:rsidR="00431DFC" w:rsidRPr="000D7389" w:rsidRDefault="00431DFC" w:rsidP="00226B07">
            <w:pPr>
              <w:pStyle w:val="af2"/>
              <w:rPr>
                <w:rFonts w:eastAsiaTheme="minorEastAsia"/>
                <w:noProof/>
                <w:color w:val="auto"/>
              </w:rPr>
            </w:pPr>
            <w:r w:rsidRPr="000D7389">
              <w:rPr>
                <w:rFonts w:eastAsiaTheme="minorEastAsia"/>
                <w:noProof/>
                <w:color w:val="auto"/>
              </w:rPr>
              <w:drawing>
                <wp:inline distT="0" distB="0" distL="0" distR="0" wp14:anchorId="68B10322" wp14:editId="69D22B51">
                  <wp:extent cx="2340640" cy="1755129"/>
                  <wp:effectExtent l="0" t="0" r="2540" b="0"/>
                  <wp:docPr id="138597874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5665" cy="1758897"/>
                          </a:xfrm>
                          <a:prstGeom prst="rect">
                            <a:avLst/>
                          </a:prstGeom>
                          <a:noFill/>
                          <a:ln>
                            <a:noFill/>
                          </a:ln>
                        </pic:spPr>
                      </pic:pic>
                    </a:graphicData>
                  </a:graphic>
                </wp:inline>
              </w:drawing>
            </w:r>
          </w:p>
        </w:tc>
      </w:tr>
      <w:tr w:rsidR="00431DFC" w:rsidRPr="000D7389" w14:paraId="4C036F41" w14:textId="77777777" w:rsidTr="00226B07">
        <w:trPr>
          <w:trHeight w:val="340"/>
        </w:trPr>
        <w:tc>
          <w:tcPr>
            <w:tcW w:w="2500" w:type="pct"/>
            <w:vAlign w:val="center"/>
          </w:tcPr>
          <w:p w14:paraId="7750BADA" w14:textId="77777777" w:rsidR="00431DFC" w:rsidRPr="000D7389" w:rsidRDefault="00431DFC" w:rsidP="00226B07">
            <w:pPr>
              <w:pStyle w:val="af2"/>
              <w:rPr>
                <w:rFonts w:eastAsiaTheme="minorEastAsia"/>
                <w:color w:val="auto"/>
              </w:rPr>
            </w:pPr>
            <w:r w:rsidRPr="000D7389">
              <w:rPr>
                <w:rFonts w:eastAsiaTheme="minorEastAsia"/>
                <w:color w:val="auto"/>
              </w:rPr>
              <w:t>东侧农田和和樾佳苑</w:t>
            </w:r>
          </w:p>
        </w:tc>
        <w:tc>
          <w:tcPr>
            <w:tcW w:w="2500" w:type="pct"/>
            <w:vAlign w:val="center"/>
          </w:tcPr>
          <w:p w14:paraId="6F1D2438" w14:textId="77777777" w:rsidR="00431DFC" w:rsidRPr="000D7389" w:rsidRDefault="00431DFC" w:rsidP="00226B07">
            <w:pPr>
              <w:pStyle w:val="af2"/>
              <w:rPr>
                <w:rFonts w:eastAsiaTheme="minorEastAsia"/>
                <w:color w:val="auto"/>
              </w:rPr>
            </w:pPr>
            <w:r w:rsidRPr="000D7389">
              <w:rPr>
                <w:rFonts w:eastAsiaTheme="minorEastAsia"/>
                <w:color w:val="auto"/>
              </w:rPr>
              <w:t>西侧农田和乡间小路</w:t>
            </w:r>
          </w:p>
        </w:tc>
      </w:tr>
      <w:tr w:rsidR="00431DFC" w:rsidRPr="000D7389" w14:paraId="491F8715" w14:textId="77777777" w:rsidTr="00226B07">
        <w:trPr>
          <w:trHeight w:val="340"/>
        </w:trPr>
        <w:tc>
          <w:tcPr>
            <w:tcW w:w="2500" w:type="pct"/>
            <w:vAlign w:val="center"/>
          </w:tcPr>
          <w:p w14:paraId="3ACFF4A5" w14:textId="77777777" w:rsidR="00431DFC" w:rsidRPr="000D7389" w:rsidRDefault="00431DFC" w:rsidP="00226B07">
            <w:pPr>
              <w:pStyle w:val="af2"/>
              <w:rPr>
                <w:rFonts w:eastAsiaTheme="minorEastAsia"/>
                <w:color w:val="auto"/>
              </w:rPr>
            </w:pPr>
            <w:r w:rsidRPr="000D7389">
              <w:rPr>
                <w:rFonts w:eastAsiaTheme="minorEastAsia"/>
                <w:noProof/>
                <w:color w:val="auto"/>
              </w:rPr>
              <w:drawing>
                <wp:inline distT="0" distB="0" distL="0" distR="0" wp14:anchorId="3ED4C39A" wp14:editId="0360CA7C">
                  <wp:extent cx="2405015" cy="1803400"/>
                  <wp:effectExtent l="0" t="0" r="0" b="6350"/>
                  <wp:docPr id="193069108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5739" cy="1818940"/>
                          </a:xfrm>
                          <a:prstGeom prst="rect">
                            <a:avLst/>
                          </a:prstGeom>
                          <a:noFill/>
                          <a:ln>
                            <a:noFill/>
                          </a:ln>
                        </pic:spPr>
                      </pic:pic>
                    </a:graphicData>
                  </a:graphic>
                </wp:inline>
              </w:drawing>
            </w:r>
          </w:p>
        </w:tc>
        <w:tc>
          <w:tcPr>
            <w:tcW w:w="2500" w:type="pct"/>
            <w:vAlign w:val="center"/>
          </w:tcPr>
          <w:p w14:paraId="56E92439" w14:textId="77777777" w:rsidR="00431DFC" w:rsidRPr="000D7389" w:rsidRDefault="00431DFC" w:rsidP="00226B07">
            <w:pPr>
              <w:pStyle w:val="af2"/>
              <w:rPr>
                <w:rFonts w:eastAsiaTheme="minorEastAsia"/>
                <w:color w:val="auto"/>
              </w:rPr>
            </w:pPr>
            <w:r w:rsidRPr="000D7389">
              <w:rPr>
                <w:rFonts w:eastAsiaTheme="minorEastAsia"/>
                <w:noProof/>
                <w:color w:val="auto"/>
              </w:rPr>
              <w:drawing>
                <wp:inline distT="0" distB="0" distL="0" distR="0" wp14:anchorId="33449ADD" wp14:editId="69F5E361">
                  <wp:extent cx="2413485" cy="1809750"/>
                  <wp:effectExtent l="0" t="0" r="6350" b="0"/>
                  <wp:docPr id="11908703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7891" cy="1820552"/>
                          </a:xfrm>
                          <a:prstGeom prst="rect">
                            <a:avLst/>
                          </a:prstGeom>
                          <a:noFill/>
                          <a:ln>
                            <a:noFill/>
                          </a:ln>
                        </pic:spPr>
                      </pic:pic>
                    </a:graphicData>
                  </a:graphic>
                </wp:inline>
              </w:drawing>
            </w:r>
          </w:p>
        </w:tc>
      </w:tr>
      <w:tr w:rsidR="00431DFC" w:rsidRPr="000D7389" w14:paraId="4530BDAC" w14:textId="77777777" w:rsidTr="00226B07">
        <w:trPr>
          <w:trHeight w:val="340"/>
        </w:trPr>
        <w:tc>
          <w:tcPr>
            <w:tcW w:w="2500" w:type="pct"/>
            <w:vAlign w:val="center"/>
          </w:tcPr>
          <w:p w14:paraId="598E0B71" w14:textId="77777777" w:rsidR="00431DFC" w:rsidRPr="000D7389" w:rsidRDefault="00431DFC" w:rsidP="00226B07">
            <w:pPr>
              <w:pStyle w:val="af2"/>
              <w:rPr>
                <w:rFonts w:eastAsiaTheme="minorEastAsia"/>
                <w:color w:val="auto"/>
              </w:rPr>
            </w:pPr>
            <w:r w:rsidRPr="000D7389">
              <w:rPr>
                <w:rFonts w:eastAsiaTheme="minorEastAsia"/>
                <w:color w:val="auto"/>
              </w:rPr>
              <w:lastRenderedPageBreak/>
              <w:t>南侧街头绿地和三金线</w:t>
            </w:r>
          </w:p>
        </w:tc>
        <w:tc>
          <w:tcPr>
            <w:tcW w:w="2500" w:type="pct"/>
            <w:vAlign w:val="center"/>
          </w:tcPr>
          <w:p w14:paraId="3959CD96" w14:textId="77777777" w:rsidR="00431DFC" w:rsidRPr="000D7389" w:rsidRDefault="00431DFC" w:rsidP="00226B07">
            <w:pPr>
              <w:pStyle w:val="af2"/>
              <w:rPr>
                <w:rFonts w:eastAsiaTheme="minorEastAsia"/>
                <w:color w:val="auto"/>
              </w:rPr>
            </w:pPr>
            <w:r w:rsidRPr="000D7389">
              <w:rPr>
                <w:rFonts w:eastAsiaTheme="minorEastAsia"/>
                <w:color w:val="auto"/>
              </w:rPr>
              <w:t>北侧农田和东社社区居民区</w:t>
            </w:r>
          </w:p>
        </w:tc>
      </w:tr>
    </w:tbl>
    <w:p w14:paraId="51F55115" w14:textId="79E94294" w:rsidR="00A94D8A" w:rsidRPr="009F51F2" w:rsidRDefault="00431DFC" w:rsidP="00431DFC">
      <w:pPr>
        <w:jc w:val="center"/>
        <w:rPr>
          <w:rFonts w:eastAsiaTheme="minorEastAsia" w:cs="Times New Roman" w:hint="eastAsia"/>
          <w:b/>
          <w:bCs/>
          <w:sz w:val="21"/>
          <w:szCs w:val="21"/>
          <w:lang w:val="zh-CN"/>
        </w:rPr>
      </w:pPr>
      <w:r w:rsidRPr="000D7389">
        <w:rPr>
          <w:rFonts w:eastAsiaTheme="minorEastAsia" w:cs="Times New Roman"/>
          <w:b/>
          <w:bCs/>
          <w:sz w:val="21"/>
          <w:szCs w:val="21"/>
        </w:rPr>
        <w:t>图</w:t>
      </w:r>
      <w:r w:rsidRPr="000D7389">
        <w:rPr>
          <w:rFonts w:eastAsiaTheme="minorEastAsia" w:cs="Times New Roman"/>
          <w:b/>
          <w:bCs/>
          <w:sz w:val="21"/>
          <w:szCs w:val="21"/>
        </w:rPr>
        <w:t>4.2-1</w:t>
      </w:r>
      <w:r w:rsidRPr="000D7389">
        <w:rPr>
          <w:rFonts w:eastAsiaTheme="minorEastAsia" w:cs="Times New Roman"/>
          <w:b/>
          <w:bCs/>
          <w:sz w:val="21"/>
          <w:szCs w:val="21"/>
        </w:rPr>
        <w:t>调查地块现场踏勘图</w:t>
      </w:r>
    </w:p>
    <w:p w14:paraId="2610DB90" w14:textId="563FE271" w:rsidR="00431DFC" w:rsidRPr="000D7389" w:rsidRDefault="00431DFC" w:rsidP="00431DFC">
      <w:pPr>
        <w:pStyle w:val="11"/>
        <w:numPr>
          <w:ilvl w:val="0"/>
          <w:numId w:val="0"/>
        </w:numPr>
        <w:spacing w:beforeLines="0" w:before="0" w:afterLines="0" w:after="0" w:line="360" w:lineRule="auto"/>
        <w:rPr>
          <w:rFonts w:eastAsiaTheme="minorEastAsia"/>
          <w:color w:val="auto"/>
          <w:lang w:eastAsia="zh-CN"/>
        </w:rPr>
      </w:pPr>
      <w:bookmarkStart w:id="27" w:name="_bookmark28"/>
      <w:bookmarkStart w:id="28" w:name="_bookmark29"/>
      <w:bookmarkStart w:id="29" w:name="_bookmark36"/>
      <w:bookmarkStart w:id="30" w:name="_bookmark40"/>
      <w:bookmarkStart w:id="31" w:name="_bookmark47"/>
      <w:bookmarkStart w:id="32" w:name="_bookmark45"/>
      <w:bookmarkStart w:id="33" w:name="_bookmark46"/>
      <w:bookmarkStart w:id="34" w:name="_bookmark37"/>
      <w:bookmarkStart w:id="35" w:name="_bookmark51"/>
      <w:bookmarkStart w:id="36" w:name="_bookmark53"/>
      <w:bookmarkStart w:id="37" w:name="_bookmark52"/>
      <w:bookmarkStart w:id="38" w:name="_Toc238418555"/>
      <w:bookmarkEnd w:id="26"/>
      <w:bookmarkEnd w:id="27"/>
      <w:bookmarkEnd w:id="28"/>
      <w:bookmarkEnd w:id="29"/>
      <w:bookmarkEnd w:id="30"/>
      <w:bookmarkEnd w:id="31"/>
      <w:bookmarkEnd w:id="32"/>
      <w:bookmarkEnd w:id="33"/>
      <w:bookmarkEnd w:id="34"/>
      <w:bookmarkEnd w:id="35"/>
      <w:bookmarkEnd w:id="36"/>
      <w:bookmarkEnd w:id="37"/>
      <w:r>
        <w:rPr>
          <w:rFonts w:eastAsiaTheme="minorEastAsia" w:hint="eastAsia"/>
          <w:color w:val="auto"/>
          <w:lang w:eastAsia="zh-CN"/>
        </w:rPr>
        <w:t>2</w:t>
      </w:r>
      <w:r w:rsidRPr="000D7389">
        <w:rPr>
          <w:rFonts w:eastAsiaTheme="minorEastAsia"/>
          <w:color w:val="auto"/>
          <w:lang w:eastAsia="zh-CN"/>
        </w:rPr>
        <w:t>第一阶段调查结论与建议</w:t>
      </w:r>
      <w:bookmarkEnd w:id="38"/>
    </w:p>
    <w:p w14:paraId="6FC3EE03" w14:textId="5FA4E2A8" w:rsidR="00431DFC" w:rsidRPr="000D7389" w:rsidRDefault="00431DFC" w:rsidP="00431DFC">
      <w:pPr>
        <w:pStyle w:val="20"/>
        <w:spacing w:before="0" w:after="0" w:line="360" w:lineRule="auto"/>
        <w:rPr>
          <w:rFonts w:ascii="Times New Roman" w:eastAsiaTheme="minorEastAsia" w:hAnsi="Times New Roman" w:cs="Times New Roman"/>
          <w:color w:val="auto"/>
        </w:rPr>
      </w:pPr>
      <w:bookmarkStart w:id="39" w:name="_Toc238418556"/>
      <w:r>
        <w:rPr>
          <w:rFonts w:ascii="Times New Roman" w:eastAsiaTheme="minorEastAsia" w:hAnsi="Times New Roman" w:cs="Times New Roman" w:hint="eastAsia"/>
          <w:bCs/>
          <w:snapToGrid w:val="0"/>
          <w:color w:val="auto"/>
          <w:spacing w:val="0"/>
          <w:kern w:val="2"/>
          <w:sz w:val="32"/>
          <w:szCs w:val="44"/>
          <w:lang w:val="zh-CN"/>
        </w:rPr>
        <w:t>2</w:t>
      </w:r>
      <w:r w:rsidRPr="000D7389">
        <w:rPr>
          <w:rFonts w:ascii="Times New Roman" w:eastAsiaTheme="minorEastAsia" w:hAnsi="Times New Roman" w:cs="Times New Roman"/>
          <w:bCs/>
          <w:snapToGrid w:val="0"/>
          <w:color w:val="auto"/>
          <w:spacing w:val="0"/>
          <w:kern w:val="2"/>
          <w:sz w:val="32"/>
          <w:szCs w:val="44"/>
          <w:lang w:val="zh-CN"/>
        </w:rPr>
        <w:t>.1</w:t>
      </w:r>
      <w:r w:rsidRPr="000D7389">
        <w:rPr>
          <w:rFonts w:ascii="Times New Roman" w:eastAsiaTheme="minorEastAsia" w:hAnsi="Times New Roman" w:cs="Times New Roman"/>
          <w:bCs/>
          <w:snapToGrid w:val="0"/>
          <w:color w:val="auto"/>
          <w:spacing w:val="0"/>
          <w:kern w:val="2"/>
          <w:sz w:val="32"/>
          <w:szCs w:val="44"/>
          <w:lang w:val="zh-CN"/>
        </w:rPr>
        <w:t>结论</w:t>
      </w:r>
      <w:bookmarkEnd w:id="39"/>
    </w:p>
    <w:p w14:paraId="4A8EECF7" w14:textId="77777777" w:rsidR="00431DFC" w:rsidRPr="000D7389" w:rsidRDefault="00431DFC" w:rsidP="00431DFC">
      <w:pPr>
        <w:pStyle w:val="-0"/>
        <w:spacing w:line="360" w:lineRule="auto"/>
        <w:rPr>
          <w:rFonts w:eastAsiaTheme="minorEastAsia"/>
          <w:color w:val="auto"/>
          <w:lang w:val="en-US"/>
        </w:rPr>
      </w:pPr>
      <w:r w:rsidRPr="000D7389">
        <w:rPr>
          <w:rFonts w:eastAsiaTheme="minorEastAsia"/>
          <w:color w:val="auto"/>
        </w:rPr>
        <w:t>本次调查的东社镇和樾佳苑西侧三金线北侧地块位于通州区东社镇东社社区，东至民华路（规划）、南至绿地、西至西华路（规划）、北至东社社区居民区，占地面积</w:t>
      </w:r>
      <w:r w:rsidRPr="000D7389">
        <w:rPr>
          <w:rFonts w:eastAsiaTheme="minorEastAsia"/>
          <w:color w:val="auto"/>
        </w:rPr>
        <w:t>24513</w:t>
      </w:r>
      <w:r w:rsidRPr="000D7389">
        <w:rPr>
          <w:rFonts w:eastAsiaTheme="minorEastAsia"/>
          <w:color w:val="auto"/>
        </w:rPr>
        <w:t>平方米。</w:t>
      </w:r>
      <w:r w:rsidRPr="000D7389">
        <w:rPr>
          <w:rFonts w:eastAsiaTheme="minorEastAsia"/>
          <w:color w:val="auto"/>
          <w:lang w:val="en-US"/>
        </w:rPr>
        <w:t>根据《南通市通州区东社镇</w:t>
      </w:r>
      <w:r w:rsidRPr="000D7389">
        <w:rPr>
          <w:rFonts w:eastAsiaTheme="minorEastAsia"/>
          <w:color w:val="auto"/>
          <w:lang w:val="en-US"/>
        </w:rPr>
        <w:t>TZ-36</w:t>
      </w:r>
      <w:r w:rsidRPr="000D7389">
        <w:rPr>
          <w:rFonts w:eastAsiaTheme="minorEastAsia"/>
          <w:color w:val="auto"/>
          <w:lang w:val="en-US"/>
        </w:rPr>
        <w:t>单元</w:t>
      </w:r>
      <w:r w:rsidRPr="000D7389">
        <w:rPr>
          <w:rFonts w:eastAsiaTheme="minorEastAsia"/>
          <w:color w:val="auto"/>
          <w:lang w:val="en-US"/>
        </w:rPr>
        <w:t>02</w:t>
      </w:r>
      <w:r w:rsidRPr="000D7389">
        <w:rPr>
          <w:rFonts w:eastAsiaTheme="minorEastAsia"/>
          <w:color w:val="auto"/>
          <w:lang w:val="en-US"/>
        </w:rPr>
        <w:t>街区详细规划》，该地块规划用地性质为商住混合用地。</w:t>
      </w:r>
    </w:p>
    <w:p w14:paraId="68258D94" w14:textId="77777777" w:rsidR="00431DFC" w:rsidRPr="000D7389" w:rsidRDefault="00431DFC" w:rsidP="00431DFC">
      <w:pPr>
        <w:pStyle w:val="-0"/>
        <w:spacing w:line="360" w:lineRule="auto"/>
        <w:rPr>
          <w:rFonts w:eastAsiaTheme="minorEastAsia"/>
          <w:color w:val="auto"/>
          <w:lang w:val="en-US"/>
        </w:rPr>
      </w:pPr>
      <w:r w:rsidRPr="000D7389">
        <w:rPr>
          <w:rFonts w:eastAsiaTheme="minorEastAsia"/>
          <w:color w:val="auto"/>
        </w:rPr>
        <w:t>根据《中华人民共和国土壤污染防治法》，用途变更为住宅、公共管理与公共服务用地的，变更前应当按照规定进行土壤污染状况调查。为了保证土地开发利用安全，实现用地环保可持续发展，南通市通州区土地储备中心委托南京国环科技股份有限公司对东社镇和樾佳苑西侧三金线北侧地块开展土壤污染状况调查工作。</w:t>
      </w:r>
    </w:p>
    <w:p w14:paraId="03B55C68"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通过现场踏勘、调查访问、收集地块现状资料和历史资料可知，本地块历史上主要为农田和居民区，无工业企业，调查地块内无潜在污染源，存在造成污染的可能性很小。调查地块至今未发现有生产、使用、贮存、回收、处置有毒有害物质及固体（危险）废物堆放、填埋，未曾发生过环境污染事件。</w:t>
      </w:r>
    </w:p>
    <w:p w14:paraId="5FA6BC00"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调查地块周边</w:t>
      </w:r>
      <w:r w:rsidRPr="000D7389">
        <w:rPr>
          <w:rFonts w:eastAsiaTheme="minorEastAsia"/>
          <w:color w:val="auto"/>
        </w:rPr>
        <w:t>500m</w:t>
      </w:r>
      <w:r w:rsidRPr="000D7389">
        <w:rPr>
          <w:rFonts w:eastAsiaTheme="minorEastAsia"/>
          <w:color w:val="auto"/>
        </w:rPr>
        <w:t>范围历史存在通州区东社镇捷瑞家纺针织厂、南通市通州区东社镇明琴农副产品有限公司、通州区东社镇张勇农产品经营部、叠佩尔服饰（南通）有限公司、南通腾宇环保设备有限公司、南通欣瑞祥家居科技有限公司、南通市通州区顺行纺织有限公司、南通玉品斋食品有限公司、通州区东社镇成林工艺手套厂、通州区东社镇宝春农资经营部、南通木淼纺织品有限公司、江苏谷宇农产品仓储有限公司，但上述企业仅为简单加工企业，无重污染工序，且距离地块较远，因此对调查地块影响可以忽略。</w:t>
      </w:r>
    </w:p>
    <w:p w14:paraId="1A872B03"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为排除不确定因素，本次调查采用</w:t>
      </w:r>
      <w:r w:rsidRPr="000D7389">
        <w:rPr>
          <w:rFonts w:eastAsiaTheme="minorEastAsia"/>
          <w:color w:val="auto"/>
        </w:rPr>
        <w:t>XRF</w:t>
      </w:r>
      <w:r w:rsidRPr="000D7389">
        <w:rPr>
          <w:rFonts w:eastAsiaTheme="minorEastAsia"/>
          <w:color w:val="auto"/>
        </w:rPr>
        <w:t>和</w:t>
      </w:r>
      <w:r w:rsidRPr="000D7389">
        <w:rPr>
          <w:rFonts w:eastAsiaTheme="minorEastAsia"/>
          <w:color w:val="auto"/>
        </w:rPr>
        <w:t>PID</w:t>
      </w:r>
      <w:r w:rsidRPr="000D7389">
        <w:rPr>
          <w:rFonts w:eastAsiaTheme="minorEastAsia"/>
          <w:color w:val="auto"/>
        </w:rPr>
        <w:t>快速检测设备对地块土壤进行了现场检测。本次调查于</w:t>
      </w:r>
      <w:r w:rsidRPr="000D7389">
        <w:rPr>
          <w:rFonts w:eastAsiaTheme="minorEastAsia"/>
          <w:color w:val="auto"/>
        </w:rPr>
        <w:t>2026</w:t>
      </w:r>
      <w:r w:rsidRPr="000D7389">
        <w:rPr>
          <w:rFonts w:eastAsiaTheme="minorEastAsia"/>
          <w:color w:val="auto"/>
        </w:rPr>
        <w:t>年</w:t>
      </w:r>
      <w:r w:rsidRPr="000D7389">
        <w:rPr>
          <w:rFonts w:eastAsiaTheme="minorEastAsia"/>
          <w:color w:val="auto"/>
        </w:rPr>
        <w:t>8</w:t>
      </w:r>
      <w:r w:rsidRPr="000D7389">
        <w:rPr>
          <w:rFonts w:eastAsiaTheme="minorEastAsia"/>
          <w:color w:val="auto"/>
        </w:rPr>
        <w:t>月</w:t>
      </w:r>
      <w:r w:rsidRPr="000D7389">
        <w:rPr>
          <w:rFonts w:eastAsiaTheme="minorEastAsia"/>
          <w:color w:val="auto"/>
        </w:rPr>
        <w:t>19</w:t>
      </w:r>
      <w:r w:rsidRPr="000D7389">
        <w:rPr>
          <w:rFonts w:eastAsiaTheme="minorEastAsia"/>
          <w:color w:val="auto"/>
        </w:rPr>
        <w:t>日进行现场快速检测，共采集</w:t>
      </w:r>
      <w:r w:rsidRPr="000D7389">
        <w:rPr>
          <w:rFonts w:eastAsiaTheme="minorEastAsia"/>
          <w:color w:val="auto"/>
        </w:rPr>
        <w:t>14</w:t>
      </w:r>
      <w:r w:rsidRPr="000D7389">
        <w:rPr>
          <w:rFonts w:eastAsiaTheme="minorEastAsia"/>
          <w:color w:val="auto"/>
        </w:rPr>
        <w:t>个快筛土壤样品（含</w:t>
      </w:r>
      <w:r w:rsidRPr="000D7389">
        <w:rPr>
          <w:rFonts w:eastAsiaTheme="minorEastAsia"/>
          <w:color w:val="auto"/>
        </w:rPr>
        <w:t>1</w:t>
      </w:r>
      <w:r w:rsidRPr="000D7389">
        <w:rPr>
          <w:rFonts w:eastAsiaTheme="minorEastAsia"/>
          <w:color w:val="auto"/>
        </w:rPr>
        <w:t>个对照点土壤样品）。地块内采集的</w:t>
      </w:r>
      <w:r w:rsidRPr="000D7389">
        <w:rPr>
          <w:rFonts w:eastAsiaTheme="minorEastAsia"/>
          <w:color w:val="auto"/>
        </w:rPr>
        <w:t>13</w:t>
      </w:r>
      <w:r w:rsidRPr="000D7389">
        <w:rPr>
          <w:rFonts w:eastAsiaTheme="minorEastAsia"/>
          <w:color w:val="auto"/>
        </w:rPr>
        <w:t>个土壤样品中重金属（铬、镍、铜、砷、镉、汞、铅、锌、锡）和</w:t>
      </w:r>
      <w:r w:rsidRPr="000D7389">
        <w:rPr>
          <w:rFonts w:eastAsiaTheme="minorEastAsia"/>
          <w:color w:val="auto"/>
        </w:rPr>
        <w:t>PID</w:t>
      </w:r>
      <w:r w:rsidRPr="000D7389">
        <w:rPr>
          <w:rFonts w:eastAsiaTheme="minorEastAsia"/>
          <w:color w:val="auto"/>
        </w:rPr>
        <w:t>快检数据无异常，且与对照点相比没有明显差异。</w:t>
      </w:r>
    </w:p>
    <w:p w14:paraId="4E89D1DA" w14:textId="77777777" w:rsidR="00431DFC" w:rsidRPr="000D7389" w:rsidRDefault="00431DFC" w:rsidP="00431DFC">
      <w:pPr>
        <w:pStyle w:val="-0"/>
        <w:spacing w:line="360" w:lineRule="auto"/>
        <w:rPr>
          <w:rFonts w:eastAsiaTheme="minorEastAsia"/>
          <w:color w:val="auto"/>
          <w:lang w:val="en-US"/>
        </w:rPr>
      </w:pPr>
      <w:r w:rsidRPr="000D7389">
        <w:rPr>
          <w:rFonts w:eastAsiaTheme="minorEastAsia"/>
          <w:color w:val="auto"/>
        </w:rPr>
        <w:lastRenderedPageBreak/>
        <w:t>因此，</w:t>
      </w:r>
      <w:bookmarkStart w:id="40" w:name="_Hlk193873434"/>
      <w:r w:rsidRPr="000D7389">
        <w:rPr>
          <w:rFonts w:eastAsiaTheme="minorEastAsia"/>
          <w:color w:val="auto"/>
        </w:rPr>
        <w:t>调查结果表明地块内及周围区域当前和历史上不存在确定的、可能造成土壤污染的来源，认为本次调查地块的环境状况可以接受，不属于污染地块，</w:t>
      </w:r>
      <w:bookmarkEnd w:id="40"/>
      <w:r w:rsidRPr="000D7389">
        <w:rPr>
          <w:rFonts w:eastAsiaTheme="minorEastAsia"/>
          <w:color w:val="auto"/>
        </w:rPr>
        <w:t>满足规划用地土壤环境质量要求。根据《建设用地土壤污染状况调查技术导则》（</w:t>
      </w:r>
      <w:r w:rsidRPr="000D7389">
        <w:rPr>
          <w:rFonts w:eastAsiaTheme="minorEastAsia"/>
          <w:color w:val="auto"/>
        </w:rPr>
        <w:t>HJ 25.1-2019</w:t>
      </w:r>
      <w:r w:rsidRPr="000D7389">
        <w:rPr>
          <w:rFonts w:eastAsiaTheme="minorEastAsia"/>
          <w:color w:val="auto"/>
        </w:rPr>
        <w:t>），本次土壤污染状况调查活动可以结束。</w:t>
      </w:r>
    </w:p>
    <w:p w14:paraId="18448824" w14:textId="0EB056FF" w:rsidR="00431DFC" w:rsidRPr="000D7389" w:rsidRDefault="00431DFC" w:rsidP="00431DFC">
      <w:pPr>
        <w:pStyle w:val="20"/>
        <w:spacing w:before="0" w:after="0" w:line="360" w:lineRule="auto"/>
        <w:rPr>
          <w:rFonts w:ascii="Times New Roman" w:eastAsiaTheme="minorEastAsia" w:hAnsi="Times New Roman" w:cs="Times New Roman"/>
          <w:bCs/>
          <w:snapToGrid w:val="0"/>
          <w:color w:val="auto"/>
          <w:spacing w:val="0"/>
          <w:kern w:val="2"/>
          <w:sz w:val="32"/>
          <w:szCs w:val="44"/>
          <w:lang w:val="zh-CN"/>
        </w:rPr>
      </w:pPr>
      <w:bookmarkStart w:id="41" w:name="_Toc238418557"/>
      <w:r>
        <w:rPr>
          <w:rFonts w:ascii="Times New Roman" w:eastAsiaTheme="minorEastAsia" w:hAnsi="Times New Roman" w:cs="Times New Roman" w:hint="eastAsia"/>
          <w:bCs/>
          <w:snapToGrid w:val="0"/>
          <w:color w:val="auto"/>
          <w:spacing w:val="0"/>
          <w:kern w:val="2"/>
          <w:sz w:val="32"/>
          <w:szCs w:val="44"/>
          <w:lang w:val="zh-CN"/>
        </w:rPr>
        <w:t>2</w:t>
      </w:r>
      <w:r w:rsidRPr="000D7389">
        <w:rPr>
          <w:rFonts w:ascii="Times New Roman" w:eastAsiaTheme="minorEastAsia" w:hAnsi="Times New Roman" w:cs="Times New Roman"/>
          <w:bCs/>
          <w:snapToGrid w:val="0"/>
          <w:color w:val="auto"/>
          <w:spacing w:val="0"/>
          <w:kern w:val="2"/>
          <w:sz w:val="32"/>
          <w:szCs w:val="44"/>
          <w:lang w:val="zh-CN"/>
        </w:rPr>
        <w:t>.2</w:t>
      </w:r>
      <w:r w:rsidRPr="000D7389">
        <w:rPr>
          <w:rFonts w:ascii="Times New Roman" w:eastAsiaTheme="minorEastAsia" w:hAnsi="Times New Roman" w:cs="Times New Roman"/>
          <w:bCs/>
          <w:snapToGrid w:val="0"/>
          <w:color w:val="auto"/>
          <w:spacing w:val="0"/>
          <w:kern w:val="2"/>
          <w:sz w:val="32"/>
          <w:szCs w:val="44"/>
          <w:lang w:val="zh-CN"/>
        </w:rPr>
        <w:t>建议</w:t>
      </w:r>
      <w:bookmarkEnd w:id="41"/>
    </w:p>
    <w:p w14:paraId="18278ECB" w14:textId="77777777" w:rsidR="00431DFC" w:rsidRPr="000D7389" w:rsidRDefault="00431DFC" w:rsidP="00431DFC">
      <w:pPr>
        <w:widowControl w:val="0"/>
        <w:adjustRightInd w:val="0"/>
        <w:snapToGrid w:val="0"/>
        <w:spacing w:line="360" w:lineRule="auto"/>
        <w:ind w:firstLineChars="200" w:firstLine="480"/>
        <w:jc w:val="both"/>
        <w:rPr>
          <w:rFonts w:eastAsiaTheme="minorEastAsia" w:cs="Times New Roman"/>
        </w:rPr>
      </w:pPr>
      <w:r w:rsidRPr="000D7389">
        <w:rPr>
          <w:rFonts w:eastAsiaTheme="minorEastAsia" w:cs="Times New Roman"/>
        </w:rPr>
        <w:t>（</w:t>
      </w:r>
      <w:r w:rsidRPr="000D7389">
        <w:rPr>
          <w:rFonts w:eastAsiaTheme="minorEastAsia" w:cs="Times New Roman"/>
        </w:rPr>
        <w:t>1</w:t>
      </w:r>
      <w:r w:rsidRPr="000D7389">
        <w:rPr>
          <w:rFonts w:eastAsiaTheme="minorEastAsia" w:cs="Times New Roman"/>
        </w:rPr>
        <w:t>）加强地块的监管，防止出现人为倾倒固废、偷排工业废水等现象。</w:t>
      </w:r>
    </w:p>
    <w:p w14:paraId="409DC0B0" w14:textId="77777777" w:rsidR="00431DFC" w:rsidRPr="000D7389" w:rsidRDefault="00431DFC" w:rsidP="00431DFC">
      <w:pPr>
        <w:widowControl w:val="0"/>
        <w:adjustRightInd w:val="0"/>
        <w:snapToGrid w:val="0"/>
        <w:spacing w:line="360" w:lineRule="auto"/>
        <w:ind w:firstLineChars="200" w:firstLine="480"/>
        <w:jc w:val="both"/>
        <w:rPr>
          <w:rFonts w:eastAsiaTheme="minorEastAsia" w:cs="Times New Roman"/>
        </w:rPr>
      </w:pPr>
      <w:r w:rsidRPr="000D7389">
        <w:rPr>
          <w:rFonts w:eastAsiaTheme="minorEastAsia" w:cs="Times New Roman"/>
        </w:rPr>
        <w:t>（</w:t>
      </w:r>
      <w:r w:rsidRPr="000D7389">
        <w:rPr>
          <w:rFonts w:eastAsiaTheme="minorEastAsia" w:cs="Times New Roman"/>
        </w:rPr>
        <w:t>2</w:t>
      </w:r>
      <w:r w:rsidRPr="000D7389">
        <w:rPr>
          <w:rFonts w:eastAsiaTheme="minorEastAsia" w:cs="Times New Roman"/>
        </w:rPr>
        <w:t>）若开发过程中发现地表区域及土壤存在异常颜色、气味等情况，应及时向当地环保主管部门汇报并进行相关措施处置，防止地块残留污染物造成任何人身伤害及环境二次污染，并进一步调查分析此地块土地用途转居住用地进行开发建设的可行性。</w:t>
      </w:r>
    </w:p>
    <w:p w14:paraId="7EF5E997" w14:textId="77777777" w:rsidR="00431DFC" w:rsidRPr="000D7389" w:rsidRDefault="00431DFC" w:rsidP="00431DFC">
      <w:pPr>
        <w:widowControl w:val="0"/>
        <w:adjustRightInd w:val="0"/>
        <w:snapToGrid w:val="0"/>
        <w:spacing w:line="360" w:lineRule="auto"/>
        <w:ind w:firstLineChars="200" w:firstLine="480"/>
        <w:jc w:val="both"/>
        <w:rPr>
          <w:rFonts w:eastAsiaTheme="minorEastAsia" w:cs="Times New Roman"/>
        </w:rPr>
      </w:pPr>
      <w:r w:rsidRPr="000D7389">
        <w:rPr>
          <w:rFonts w:eastAsiaTheme="minorEastAsia" w:cs="Times New Roman"/>
        </w:rPr>
        <w:t>（</w:t>
      </w:r>
      <w:r w:rsidRPr="000D7389">
        <w:rPr>
          <w:rFonts w:eastAsiaTheme="minorEastAsia" w:cs="Times New Roman"/>
        </w:rPr>
        <w:t>3</w:t>
      </w:r>
      <w:r w:rsidRPr="000D7389">
        <w:rPr>
          <w:rFonts w:eastAsiaTheme="minorEastAsia" w:cs="Times New Roman"/>
        </w:rPr>
        <w:t>）本地块在施工阶段，要做好该场地的污染防治工作，防止平整、建设过程中造成二次污染。</w:t>
      </w:r>
    </w:p>
    <w:p w14:paraId="3B0F34E6" w14:textId="6EBEE0E0" w:rsidR="00431DFC" w:rsidRPr="000D7389" w:rsidRDefault="00431DFC" w:rsidP="00431DFC">
      <w:pPr>
        <w:pStyle w:val="20"/>
        <w:adjustRightInd w:val="0"/>
        <w:snapToGrid w:val="0"/>
        <w:spacing w:before="0" w:after="0" w:line="360" w:lineRule="auto"/>
        <w:rPr>
          <w:rFonts w:ascii="Times New Roman" w:eastAsiaTheme="minorEastAsia" w:hAnsi="Times New Roman" w:cs="Times New Roman"/>
          <w:bCs/>
          <w:snapToGrid w:val="0"/>
          <w:color w:val="auto"/>
          <w:spacing w:val="0"/>
          <w:kern w:val="2"/>
          <w:szCs w:val="30"/>
          <w:lang w:val="zh-CN"/>
        </w:rPr>
      </w:pPr>
      <w:bookmarkStart w:id="42" w:name="_Toc238418558"/>
      <w:r>
        <w:rPr>
          <w:rFonts w:ascii="Times New Roman" w:eastAsiaTheme="minorEastAsia" w:hAnsi="Times New Roman" w:cs="Times New Roman" w:hint="eastAsia"/>
          <w:bCs/>
          <w:snapToGrid w:val="0"/>
          <w:color w:val="auto"/>
          <w:spacing w:val="0"/>
          <w:kern w:val="2"/>
          <w:szCs w:val="30"/>
          <w:lang w:val="zh-CN"/>
        </w:rPr>
        <w:t>2</w:t>
      </w:r>
      <w:r w:rsidRPr="000D7389">
        <w:rPr>
          <w:rFonts w:ascii="Times New Roman" w:eastAsiaTheme="minorEastAsia" w:hAnsi="Times New Roman" w:cs="Times New Roman"/>
          <w:bCs/>
          <w:snapToGrid w:val="0"/>
          <w:color w:val="auto"/>
          <w:spacing w:val="0"/>
          <w:kern w:val="2"/>
          <w:szCs w:val="30"/>
          <w:lang w:val="zh-CN"/>
        </w:rPr>
        <w:t>.3</w:t>
      </w:r>
      <w:r w:rsidRPr="000D7389">
        <w:rPr>
          <w:rFonts w:ascii="Times New Roman" w:eastAsiaTheme="minorEastAsia" w:hAnsi="Times New Roman" w:cs="Times New Roman"/>
          <w:bCs/>
          <w:snapToGrid w:val="0"/>
          <w:color w:val="auto"/>
          <w:spacing w:val="0"/>
          <w:kern w:val="2"/>
          <w:szCs w:val="30"/>
          <w:lang w:val="zh-CN"/>
        </w:rPr>
        <w:t>不确定性分析</w:t>
      </w:r>
      <w:bookmarkEnd w:id="42"/>
    </w:p>
    <w:p w14:paraId="516D3CE3"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本项目通过资料收集、现场踏勘、人员访谈、快速检测等过程，严格按照《建设用地土壤污染状况调查技术导则》（</w:t>
      </w:r>
      <w:r w:rsidRPr="000D7389">
        <w:rPr>
          <w:rFonts w:eastAsiaTheme="minorEastAsia"/>
          <w:color w:val="auto"/>
        </w:rPr>
        <w:t>HJ25.1-2019</w:t>
      </w:r>
      <w:r w:rsidRPr="000D7389">
        <w:rPr>
          <w:rFonts w:eastAsiaTheme="minorEastAsia"/>
          <w:color w:val="auto"/>
        </w:rPr>
        <w:t>）等技术规范中的相关要求，最终得到本项目调查与评估结论。但考虑到现实条件存在不确定因素，因此，有必要对本项目调查评估结论进行不确定性分析，主要体现在以下几个方面：</w:t>
      </w:r>
    </w:p>
    <w:p w14:paraId="66C5A86E" w14:textId="77777777" w:rsidR="00431DFC" w:rsidRPr="000D7389" w:rsidRDefault="00431DFC" w:rsidP="00431DFC">
      <w:pPr>
        <w:pStyle w:val="-0"/>
        <w:spacing w:line="360" w:lineRule="auto"/>
        <w:ind w:firstLine="482"/>
        <w:rPr>
          <w:rFonts w:eastAsiaTheme="minorEastAsia"/>
          <w:b/>
          <w:bCs/>
          <w:color w:val="auto"/>
        </w:rPr>
      </w:pPr>
      <w:r w:rsidRPr="000D7389">
        <w:rPr>
          <w:rFonts w:eastAsiaTheme="minorEastAsia"/>
          <w:b/>
          <w:bCs/>
          <w:color w:val="auto"/>
        </w:rPr>
        <w:t>（</w:t>
      </w:r>
      <w:r w:rsidRPr="000D7389">
        <w:rPr>
          <w:rFonts w:eastAsiaTheme="minorEastAsia"/>
          <w:b/>
          <w:bCs/>
          <w:color w:val="auto"/>
        </w:rPr>
        <w:t>1</w:t>
      </w:r>
      <w:r w:rsidRPr="000D7389">
        <w:rPr>
          <w:rFonts w:eastAsiaTheme="minorEastAsia"/>
          <w:b/>
          <w:bCs/>
          <w:color w:val="auto"/>
        </w:rPr>
        <w:t>）资料收集和分析阶段不确定性</w:t>
      </w:r>
    </w:p>
    <w:p w14:paraId="47DB673E" w14:textId="77777777" w:rsidR="00431DFC" w:rsidRPr="000D7389" w:rsidRDefault="00431DFC" w:rsidP="00431DFC">
      <w:pPr>
        <w:pStyle w:val="-0"/>
        <w:spacing w:line="360" w:lineRule="auto"/>
        <w:ind w:firstLineChars="0"/>
        <w:rPr>
          <w:rFonts w:eastAsiaTheme="minorEastAsia"/>
          <w:color w:val="auto"/>
        </w:rPr>
      </w:pPr>
      <w:r w:rsidRPr="000D7389">
        <w:rPr>
          <w:rFonts w:eastAsiaTheme="minorEastAsia"/>
          <w:color w:val="auto"/>
        </w:rPr>
        <w:t>该场地历史上及周边地块历史情况均为查阅相关资料和人员访谈所得到的。由于地块历史较长，实际情况可能与资料和访谈了解到的信息存在差异，对污染源和污染物识别的充分性产生影响。另外，场地及周边土壤中的污染物在自然过程的作用下会发生迁移和转化，人为活动更会改变污染物的分布情况。该场地缺少长期的历史监测资料，无法分析场地及其周边污染物的历史污染状况和污染变化趋势，以上因素均可能对调查结果产生不确定性。</w:t>
      </w:r>
    </w:p>
    <w:p w14:paraId="471482D9" w14:textId="77777777" w:rsidR="00431DFC" w:rsidRPr="000D7389" w:rsidRDefault="00431DFC" w:rsidP="00431DFC">
      <w:pPr>
        <w:pStyle w:val="-0"/>
        <w:spacing w:line="360" w:lineRule="auto"/>
        <w:ind w:firstLine="482"/>
        <w:rPr>
          <w:rFonts w:eastAsiaTheme="minorEastAsia"/>
          <w:b/>
          <w:bCs/>
          <w:color w:val="auto"/>
        </w:rPr>
      </w:pPr>
      <w:r w:rsidRPr="000D7389">
        <w:rPr>
          <w:rFonts w:eastAsiaTheme="minorEastAsia"/>
          <w:b/>
          <w:bCs/>
          <w:color w:val="auto"/>
        </w:rPr>
        <w:t>（</w:t>
      </w:r>
      <w:r w:rsidRPr="000D7389">
        <w:rPr>
          <w:rFonts w:eastAsiaTheme="minorEastAsia"/>
          <w:b/>
          <w:bCs/>
          <w:color w:val="auto"/>
        </w:rPr>
        <w:t>2</w:t>
      </w:r>
      <w:r w:rsidRPr="000D7389">
        <w:rPr>
          <w:rFonts w:eastAsiaTheme="minorEastAsia"/>
          <w:b/>
          <w:bCs/>
          <w:color w:val="auto"/>
        </w:rPr>
        <w:t>）人类扰动土壤的不规律性</w:t>
      </w:r>
    </w:p>
    <w:p w14:paraId="78ECAA0D" w14:textId="77777777" w:rsidR="00431DFC" w:rsidRPr="000D7389" w:rsidRDefault="00431DFC" w:rsidP="00431DFC">
      <w:pPr>
        <w:pStyle w:val="-0"/>
        <w:spacing w:line="360" w:lineRule="auto"/>
        <w:ind w:firstLineChars="0"/>
        <w:rPr>
          <w:rFonts w:eastAsiaTheme="minorEastAsia"/>
          <w:color w:val="auto"/>
        </w:rPr>
      </w:pPr>
      <w:r w:rsidRPr="000D7389">
        <w:rPr>
          <w:rFonts w:eastAsiaTheme="minorEastAsia"/>
          <w:color w:val="auto"/>
        </w:rPr>
        <w:t>调查地块在历史使用过程中不可避免地对土壤造成一定的扰动，人为活动对土壤的扰动，地块内建筑土方的堆积等使土壤存在空间分布的不规律性，给地块土壤污染状况调查带来不确定性。由于地下状况评估特有的不确定性，存在可能影响调查结果已改变的或不可预计的地下状况。</w:t>
      </w:r>
    </w:p>
    <w:p w14:paraId="2A44B227" w14:textId="77777777" w:rsidR="00431DFC" w:rsidRPr="000D7389" w:rsidRDefault="00431DFC" w:rsidP="00431DFC">
      <w:pPr>
        <w:pStyle w:val="-0"/>
        <w:spacing w:line="360" w:lineRule="auto"/>
        <w:ind w:firstLine="482"/>
        <w:rPr>
          <w:rFonts w:eastAsiaTheme="minorEastAsia"/>
          <w:b/>
          <w:bCs/>
          <w:color w:val="auto"/>
        </w:rPr>
      </w:pPr>
      <w:r w:rsidRPr="000D7389">
        <w:rPr>
          <w:rFonts w:eastAsiaTheme="minorEastAsia"/>
          <w:b/>
          <w:bCs/>
          <w:color w:val="auto"/>
        </w:rPr>
        <w:lastRenderedPageBreak/>
        <w:t>（</w:t>
      </w:r>
      <w:r w:rsidRPr="000D7389">
        <w:rPr>
          <w:rFonts w:eastAsiaTheme="minorEastAsia"/>
          <w:b/>
          <w:bCs/>
          <w:color w:val="auto"/>
        </w:rPr>
        <w:t>3</w:t>
      </w:r>
      <w:r w:rsidRPr="000D7389">
        <w:rPr>
          <w:rFonts w:eastAsiaTheme="minorEastAsia"/>
          <w:b/>
          <w:bCs/>
          <w:color w:val="auto"/>
        </w:rPr>
        <w:t>）土壤污染检测的不确定性</w:t>
      </w:r>
    </w:p>
    <w:p w14:paraId="28735EB5"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土壤本身存在一定的不均一性，且不同于水和空气，土壤污染物浓度在空间上变异性较大，即使是间距很小的点位其污染含量也可能差别很大。因此，在有限的点位土样快筛结果，对地块土壤污染状况的表述会有一定的不确定性。</w:t>
      </w:r>
    </w:p>
    <w:p w14:paraId="6D0505BE"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本次快筛使用的</w:t>
      </w:r>
      <w:r w:rsidRPr="000D7389">
        <w:rPr>
          <w:rFonts w:eastAsiaTheme="minorEastAsia"/>
          <w:color w:val="auto"/>
        </w:rPr>
        <w:t>XRF</w:t>
      </w:r>
      <w:r w:rsidRPr="000D7389">
        <w:rPr>
          <w:rFonts w:eastAsiaTheme="minorEastAsia"/>
          <w:color w:val="auto"/>
        </w:rPr>
        <w:t>、</w:t>
      </w:r>
      <w:r w:rsidRPr="000D7389">
        <w:rPr>
          <w:rFonts w:eastAsiaTheme="minorEastAsia"/>
          <w:color w:val="auto"/>
        </w:rPr>
        <w:t>PID</w:t>
      </w:r>
      <w:r w:rsidRPr="000D7389">
        <w:rPr>
          <w:rFonts w:eastAsiaTheme="minorEastAsia"/>
          <w:color w:val="auto"/>
        </w:rPr>
        <w:t>等属于快速检测设备，检测结果与相关导则标准推荐的分析方法可能存在一定的差异性，可能对调查结果产生不确定性。</w:t>
      </w:r>
    </w:p>
    <w:p w14:paraId="74BA2881" w14:textId="77777777" w:rsidR="00431DFC" w:rsidRPr="000D7389" w:rsidRDefault="00431DFC" w:rsidP="00431DFC">
      <w:pPr>
        <w:pStyle w:val="-0"/>
        <w:spacing w:line="360" w:lineRule="auto"/>
        <w:ind w:firstLine="482"/>
        <w:rPr>
          <w:rFonts w:eastAsiaTheme="minorEastAsia"/>
          <w:b/>
          <w:bCs/>
          <w:color w:val="auto"/>
        </w:rPr>
      </w:pPr>
      <w:r w:rsidRPr="000D7389">
        <w:rPr>
          <w:rFonts w:eastAsiaTheme="minorEastAsia"/>
          <w:b/>
          <w:bCs/>
          <w:color w:val="auto"/>
        </w:rPr>
        <w:t>（</w:t>
      </w:r>
      <w:r w:rsidRPr="000D7389">
        <w:rPr>
          <w:rFonts w:eastAsiaTheme="minorEastAsia"/>
          <w:b/>
          <w:bCs/>
          <w:color w:val="auto"/>
        </w:rPr>
        <w:t>4</w:t>
      </w:r>
      <w:r w:rsidRPr="000D7389">
        <w:rPr>
          <w:rFonts w:eastAsiaTheme="minorEastAsia"/>
          <w:b/>
          <w:bCs/>
          <w:color w:val="auto"/>
        </w:rPr>
        <w:t>）人员访谈主观因素</w:t>
      </w:r>
    </w:p>
    <w:p w14:paraId="24B0DF04" w14:textId="77777777" w:rsidR="00431DFC" w:rsidRPr="000D7389" w:rsidRDefault="00431DFC" w:rsidP="00431DFC">
      <w:pPr>
        <w:pStyle w:val="-0"/>
        <w:spacing w:line="360" w:lineRule="auto"/>
        <w:rPr>
          <w:rFonts w:eastAsiaTheme="minorEastAsia"/>
          <w:color w:val="auto"/>
        </w:rPr>
      </w:pPr>
      <w:r w:rsidRPr="000D7389">
        <w:rPr>
          <w:rFonts w:eastAsiaTheme="minorEastAsia"/>
          <w:color w:val="auto"/>
        </w:rPr>
        <w:t>受访者可能会受到个人偏见的影响，导致提供有限、不准确或误导性的信息。人们的记忆容易出现失真，特别是对于较久远的事件或细节，因此，在访谈中所得到的信息可能不够准确或完整。另外，受访者可能会出于各种原因而隐瞒某些信息或故意提供不完整的信息，这可能导致调查者无法获得全面的理解。</w:t>
      </w:r>
    </w:p>
    <w:p w14:paraId="30686390" w14:textId="77777777" w:rsidR="00431DFC" w:rsidRPr="000D7389" w:rsidRDefault="00431DFC" w:rsidP="00431DFC">
      <w:pPr>
        <w:pStyle w:val="11"/>
        <w:numPr>
          <w:ilvl w:val="0"/>
          <w:numId w:val="0"/>
        </w:numPr>
        <w:spacing w:before="156" w:after="156"/>
        <w:rPr>
          <w:rFonts w:eastAsiaTheme="minorEastAsia"/>
          <w:color w:val="EE0000"/>
          <w:lang w:eastAsia="zh-CN"/>
        </w:rPr>
        <w:sectPr w:rsidR="00431DFC" w:rsidRPr="000D7389" w:rsidSect="00431DFC">
          <w:pgSz w:w="11906" w:h="16838"/>
          <w:pgMar w:top="1440" w:right="1800" w:bottom="1440" w:left="1800" w:header="851" w:footer="992" w:gutter="0"/>
          <w:cols w:space="425"/>
          <w:docGrid w:type="lines" w:linePitch="312"/>
        </w:sectPr>
      </w:pPr>
    </w:p>
    <w:p w14:paraId="71974BBF" w14:textId="77777777" w:rsidR="00431DFC" w:rsidRPr="00431DFC" w:rsidRDefault="00431DFC" w:rsidP="00431DFC">
      <w:pPr>
        <w:pStyle w:val="3"/>
        <w:numPr>
          <w:ilvl w:val="0"/>
          <w:numId w:val="0"/>
        </w:numPr>
        <w:rPr>
          <w:rFonts w:hint="eastAsia"/>
        </w:rPr>
      </w:pPr>
    </w:p>
    <w:sectPr w:rsidR="00431DFC" w:rsidRPr="00431DFC" w:rsidSect="0056105E">
      <w:headerReference w:type="default"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9298" w14:textId="77777777" w:rsidR="00BD1DAA" w:rsidRDefault="00BD1DAA">
      <w:pPr>
        <w:spacing w:line="240" w:lineRule="auto"/>
      </w:pPr>
      <w:r>
        <w:separator/>
      </w:r>
    </w:p>
  </w:endnote>
  <w:endnote w:type="continuationSeparator" w:id="0">
    <w:p w14:paraId="51E60182" w14:textId="77777777" w:rsidR="00BD1DAA" w:rsidRDefault="00BD1D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charset w:val="00"/>
    <w:family w:val="roman"/>
    <w:pitch w:val="default"/>
  </w:font>
  <w:font w:name="FZFSK--GBK1-0">
    <w:altName w:val="Cambria"/>
    <w:charset w:val="00"/>
    <w:family w:val="roman"/>
    <w:pitch w:val="default"/>
  </w:font>
  <w:font w:name="TimesNewRomanPSMT">
    <w:altName w:val="Times New Roman"/>
    <w:charset w:val="00"/>
    <w:family w:val="roman"/>
    <w:pitch w:val="default"/>
    <w:sig w:usb0="00000000" w:usb1="0000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
    <w:altName w:val="宋体"/>
    <w:charset w:val="86"/>
    <w:family w:val="roman"/>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default"/>
    <w:sig w:usb0="00000000"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341044"/>
      <w:docPartObj>
        <w:docPartGallery w:val="AutoText"/>
      </w:docPartObj>
    </w:sdtPr>
    <w:sdtContent>
      <w:p w14:paraId="7615734D" w14:textId="77777777" w:rsidR="00431DFC" w:rsidRDefault="00431DFC">
        <w:pPr>
          <w:pStyle w:val="aa"/>
          <w:jc w:val="center"/>
        </w:pPr>
        <w:r>
          <w:fldChar w:fldCharType="begin"/>
        </w:r>
        <w:r>
          <w:instrText>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33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9984" behindDoc="0" locked="0" layoutInCell="1" allowOverlap="1" wp14:anchorId="086A8F6C" wp14:editId="7B0CDBB3">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A8F6C" id="_x0000_t202" coordsize="21600,21600" o:spt="202" path="m,l,21600r21600,l21600,xe">
              <v:stroke joinstyle="miter"/>
              <v:path gradientshapeok="t" o:connecttype="rect"/>
            </v:shapetype>
            <v:shape id="文本框 111" o:spid="_x0000_s1027"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7936" behindDoc="0" locked="0" layoutInCell="1" allowOverlap="1" wp14:anchorId="3100C5A9" wp14:editId="05ABBCAA">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00C5A9" id="_x0000_t202" coordsize="21600,21600" o:spt="202" path="m,l,21600r21600,l21600,xe">
              <v:stroke joinstyle="miter"/>
              <v:path gradientshapeok="t" o:connecttype="rect"/>
            </v:shapetype>
            <v:shape id="文本框 104" o:spid="_x0000_s1028"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Ij3xJpDAgAA+QQAAA4AAAAA&#10;AAAAAAAAAAAALgIAAGRycy9lMm9Eb2MueG1sUEsBAi0AFAAGAAgAAAAhAHGq0bnXAAAABQEAAA8A&#10;AAAAAAAAAAAAAAAAnQQAAGRycy9kb3ducmV2LnhtbFBLBQYAAAAABAAEAPMAAAChBQAAAAA=&#10;" filled="f" stroked="f" strokeweight=".5pt">
              <v:textbox style="mso-fit-shape-to-text:t" inset="0,0,0,0">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6216" w14:textId="77777777" w:rsidR="00BD1DAA" w:rsidRDefault="00BD1DAA">
      <w:pPr>
        <w:spacing w:line="240" w:lineRule="auto"/>
      </w:pPr>
      <w:r>
        <w:separator/>
      </w:r>
    </w:p>
  </w:footnote>
  <w:footnote w:type="continuationSeparator" w:id="0">
    <w:p w14:paraId="441A6BBF" w14:textId="77777777" w:rsidR="00BD1DAA" w:rsidRDefault="00BD1D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D2BE" w14:textId="345C049E" w:rsidR="00A94D8A" w:rsidRPr="009F51F2" w:rsidRDefault="00A94D8A" w:rsidP="009F51F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77777777" w:rsidR="009520DF" w:rsidRDefault="009520DF">
    <w:pPr>
      <w:pBdr>
        <w:bottom w:val="single" w:sz="4" w:space="1" w:color="auto"/>
      </w:pBdr>
      <w:snapToGrid w:val="0"/>
      <w:spacing w:line="240" w:lineRule="auto"/>
      <w:jc w:val="center"/>
      <w:rPr>
        <w:rFonts w:eastAsia="宋体" w:cs="Times New Roman"/>
        <w:bCs/>
        <w:color w:val="000000"/>
        <w:spacing w:val="-6"/>
        <w:sz w:val="18"/>
        <w:szCs w:val="18"/>
      </w:rPr>
    </w:pPr>
    <w:r>
      <w:rPr>
        <w:rFonts w:eastAsia="宋体" w:cs="Times New Roman" w:hint="eastAsia"/>
        <w:bCs/>
        <w:color w:val="000000"/>
        <w:spacing w:val="-6"/>
        <w:sz w:val="18"/>
        <w:szCs w:val="18"/>
      </w:rPr>
      <w:t>通州区兴东街道孙李桥村卫生室建设地块</w:t>
    </w:r>
    <w:r>
      <w:rPr>
        <w:rFonts w:eastAsia="宋体" w:cs="Times New Roman"/>
        <w:bCs/>
        <w:color w:val="000000"/>
        <w:spacing w:val="-6"/>
        <w:sz w:val="18"/>
        <w:szCs w:val="18"/>
      </w:rPr>
      <w:t>土壤污染状况调查报告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5"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19"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0"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2" w15:restartNumberingAfterBreak="0">
    <w:nsid w:val="59203609"/>
    <w:multiLevelType w:val="singleLevel"/>
    <w:tmpl w:val="59203609"/>
    <w:lvl w:ilvl="0">
      <w:start w:val="1"/>
      <w:numFmt w:val="decimal"/>
      <w:suff w:val="nothing"/>
      <w:lvlText w:val="（%1）"/>
      <w:lvlJc w:val="left"/>
    </w:lvl>
  </w:abstractNum>
  <w:abstractNum w:abstractNumId="23"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7"/>
  </w:num>
  <w:num w:numId="2" w16cid:durableId="1746108145">
    <w:abstractNumId w:val="23"/>
  </w:num>
  <w:num w:numId="3" w16cid:durableId="1128351830">
    <w:abstractNumId w:val="14"/>
  </w:num>
  <w:num w:numId="4" w16cid:durableId="966277775">
    <w:abstractNumId w:val="19"/>
  </w:num>
  <w:num w:numId="5" w16cid:durableId="1537155819">
    <w:abstractNumId w:val="2"/>
  </w:num>
  <w:num w:numId="6" w16cid:durableId="228619305">
    <w:abstractNumId w:val="18"/>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4"/>
    <w:lvlOverride w:ilvl="0">
      <w:startOverride w:val="1"/>
    </w:lvlOverride>
  </w:num>
  <w:num w:numId="14" w16cid:durableId="1979334075">
    <w:abstractNumId w:val="14"/>
    <w:lvlOverride w:ilvl="0">
      <w:startOverride w:val="1"/>
    </w:lvlOverride>
  </w:num>
  <w:num w:numId="15" w16cid:durableId="1816296193">
    <w:abstractNumId w:val="14"/>
    <w:lvlOverride w:ilvl="0">
      <w:startOverride w:val="1"/>
    </w:lvlOverride>
  </w:num>
  <w:num w:numId="16" w16cid:durableId="1953826814">
    <w:abstractNumId w:val="14"/>
    <w:lvlOverride w:ilvl="0">
      <w:startOverride w:val="1"/>
    </w:lvlOverride>
  </w:num>
  <w:num w:numId="17" w16cid:durableId="580605388">
    <w:abstractNumId w:val="14"/>
    <w:lvlOverride w:ilvl="0">
      <w:startOverride w:val="1"/>
    </w:lvlOverride>
  </w:num>
  <w:num w:numId="18" w16cid:durableId="6857134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2"/>
  </w:num>
  <w:num w:numId="24" w16cid:durableId="1286152672">
    <w:abstractNumId w:val="13"/>
  </w:num>
  <w:num w:numId="25" w16cid:durableId="423961490">
    <w:abstractNumId w:val="16"/>
  </w:num>
  <w:num w:numId="26" w16cid:durableId="1904556881">
    <w:abstractNumId w:val="9"/>
  </w:num>
  <w:num w:numId="27" w16cid:durableId="1303654990">
    <w:abstractNumId w:val="10"/>
  </w:num>
  <w:num w:numId="28" w16cid:durableId="2071032237">
    <w:abstractNumId w:val="21"/>
  </w:num>
  <w:num w:numId="29" w16cid:durableId="1810051600">
    <w:abstractNumId w:val="24"/>
  </w:num>
  <w:num w:numId="30" w16cid:durableId="569729508">
    <w:abstractNumId w:val="25"/>
  </w:num>
  <w:num w:numId="31" w16cid:durableId="1075973938">
    <w:abstractNumId w:val="6"/>
  </w:num>
  <w:num w:numId="32" w16cid:durableId="16394864">
    <w:abstractNumId w:val="20"/>
  </w:num>
  <w:num w:numId="33" w16cid:durableId="1349599790">
    <w:abstractNumId w:val="11"/>
  </w:num>
  <w:num w:numId="34" w16cid:durableId="1178740048">
    <w:abstractNumId w:val="5"/>
  </w:num>
  <w:num w:numId="35" w16cid:durableId="52169267">
    <w:abstractNumId w:val="8"/>
  </w:num>
  <w:num w:numId="36" w16cid:durableId="1999141768">
    <w:abstractNumId w:val="15"/>
  </w:num>
  <w:num w:numId="37" w16cid:durableId="1808354379">
    <w:abstractNumId w:val="26"/>
  </w:num>
  <w:num w:numId="38" w16cid:durableId="6363007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00003C5E"/>
    <w:rsid w:val="00003F29"/>
    <w:rsid w:val="00010657"/>
    <w:rsid w:val="00022856"/>
    <w:rsid w:val="00026046"/>
    <w:rsid w:val="00037FF3"/>
    <w:rsid w:val="00041965"/>
    <w:rsid w:val="00041EB6"/>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0550"/>
    <w:rsid w:val="000D1A75"/>
    <w:rsid w:val="000E1773"/>
    <w:rsid w:val="000E4B43"/>
    <w:rsid w:val="00122077"/>
    <w:rsid w:val="00122C0B"/>
    <w:rsid w:val="001335C0"/>
    <w:rsid w:val="00141355"/>
    <w:rsid w:val="00142B25"/>
    <w:rsid w:val="00144A35"/>
    <w:rsid w:val="00145799"/>
    <w:rsid w:val="00146B1D"/>
    <w:rsid w:val="001473DE"/>
    <w:rsid w:val="001528A9"/>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C82"/>
    <w:rsid w:val="0021775F"/>
    <w:rsid w:val="0022172C"/>
    <w:rsid w:val="00223534"/>
    <w:rsid w:val="002331BF"/>
    <w:rsid w:val="002365E4"/>
    <w:rsid w:val="00242282"/>
    <w:rsid w:val="00242FC6"/>
    <w:rsid w:val="00250852"/>
    <w:rsid w:val="00250D62"/>
    <w:rsid w:val="002530AF"/>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43C9"/>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E3C48"/>
    <w:rsid w:val="003E6DEB"/>
    <w:rsid w:val="003F3040"/>
    <w:rsid w:val="004028C9"/>
    <w:rsid w:val="00404F53"/>
    <w:rsid w:val="004076FB"/>
    <w:rsid w:val="00431157"/>
    <w:rsid w:val="00431D7B"/>
    <w:rsid w:val="00431DFC"/>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70EB"/>
    <w:rsid w:val="00545B7B"/>
    <w:rsid w:val="0055071F"/>
    <w:rsid w:val="0055084C"/>
    <w:rsid w:val="00552695"/>
    <w:rsid w:val="00557BAD"/>
    <w:rsid w:val="0056105E"/>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1691C"/>
    <w:rsid w:val="00631DB3"/>
    <w:rsid w:val="00634E7C"/>
    <w:rsid w:val="00636333"/>
    <w:rsid w:val="00643CE9"/>
    <w:rsid w:val="00646A0A"/>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48B5"/>
    <w:rsid w:val="00764A6A"/>
    <w:rsid w:val="00770BC2"/>
    <w:rsid w:val="007830A1"/>
    <w:rsid w:val="007957F7"/>
    <w:rsid w:val="007A423E"/>
    <w:rsid w:val="007B266A"/>
    <w:rsid w:val="007C0984"/>
    <w:rsid w:val="007C2962"/>
    <w:rsid w:val="007D04F8"/>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B3616"/>
    <w:rsid w:val="008B3653"/>
    <w:rsid w:val="008D1EDF"/>
    <w:rsid w:val="008D3605"/>
    <w:rsid w:val="008D683B"/>
    <w:rsid w:val="008F55C7"/>
    <w:rsid w:val="008F5F3B"/>
    <w:rsid w:val="008F630A"/>
    <w:rsid w:val="0090249D"/>
    <w:rsid w:val="0091681A"/>
    <w:rsid w:val="00934D2A"/>
    <w:rsid w:val="00940247"/>
    <w:rsid w:val="009405C3"/>
    <w:rsid w:val="00942903"/>
    <w:rsid w:val="00942A12"/>
    <w:rsid w:val="00945FE2"/>
    <w:rsid w:val="00951823"/>
    <w:rsid w:val="009520DF"/>
    <w:rsid w:val="009546A8"/>
    <w:rsid w:val="009565F3"/>
    <w:rsid w:val="00975642"/>
    <w:rsid w:val="00983600"/>
    <w:rsid w:val="00983ED1"/>
    <w:rsid w:val="009A1898"/>
    <w:rsid w:val="009A44CA"/>
    <w:rsid w:val="009A4CC9"/>
    <w:rsid w:val="009B353C"/>
    <w:rsid w:val="009B4B82"/>
    <w:rsid w:val="009C2F63"/>
    <w:rsid w:val="009C6501"/>
    <w:rsid w:val="009D219D"/>
    <w:rsid w:val="009E25B7"/>
    <w:rsid w:val="009E2AC9"/>
    <w:rsid w:val="009E74CF"/>
    <w:rsid w:val="009F1DFD"/>
    <w:rsid w:val="009F51F2"/>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3C4B"/>
    <w:rsid w:val="00A64D66"/>
    <w:rsid w:val="00A70244"/>
    <w:rsid w:val="00A7514F"/>
    <w:rsid w:val="00A76F71"/>
    <w:rsid w:val="00A77863"/>
    <w:rsid w:val="00A854DB"/>
    <w:rsid w:val="00A85FC0"/>
    <w:rsid w:val="00A94D8A"/>
    <w:rsid w:val="00A95DAC"/>
    <w:rsid w:val="00AA03E7"/>
    <w:rsid w:val="00AA4525"/>
    <w:rsid w:val="00AA605B"/>
    <w:rsid w:val="00AB3A3D"/>
    <w:rsid w:val="00AC2FE5"/>
    <w:rsid w:val="00AC6A9A"/>
    <w:rsid w:val="00AD198F"/>
    <w:rsid w:val="00AE6BF3"/>
    <w:rsid w:val="00AE6CB3"/>
    <w:rsid w:val="00AF1125"/>
    <w:rsid w:val="00AF4C19"/>
    <w:rsid w:val="00B00012"/>
    <w:rsid w:val="00B16979"/>
    <w:rsid w:val="00B201A7"/>
    <w:rsid w:val="00B34AD1"/>
    <w:rsid w:val="00B4645E"/>
    <w:rsid w:val="00B5288B"/>
    <w:rsid w:val="00B60DD8"/>
    <w:rsid w:val="00B62782"/>
    <w:rsid w:val="00B62824"/>
    <w:rsid w:val="00B668A7"/>
    <w:rsid w:val="00B66EFC"/>
    <w:rsid w:val="00B719CF"/>
    <w:rsid w:val="00B76103"/>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1DAA"/>
    <w:rsid w:val="00BD27A0"/>
    <w:rsid w:val="00BD283E"/>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7E8A"/>
    <w:rsid w:val="00D11D25"/>
    <w:rsid w:val="00D12C30"/>
    <w:rsid w:val="00D1493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2CAD"/>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15B5C"/>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D0AFC"/>
    <w:rsid w:val="00ED4767"/>
    <w:rsid w:val="00ED5374"/>
    <w:rsid w:val="00EE013C"/>
    <w:rsid w:val="00EE1AE5"/>
    <w:rsid w:val="00EE2449"/>
    <w:rsid w:val="00EE4669"/>
    <w:rsid w:val="00EE5785"/>
    <w:rsid w:val="00EE62B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827"/>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 w:val="ABFFF633"/>
    <w:rsid w:val="BFF5AFC9"/>
    <w:rsid w:val="DFFAF0FA"/>
    <w:rsid w:val="EBFD0798"/>
    <w:rsid w:val="F9F9C955"/>
    <w:rsid w:val="FBEB87E9"/>
    <w:rsid w:val="FDFF5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3393</TotalTime>
  <Pages>11</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180</cp:revision>
  <cp:lastPrinted>2023-05-08T02:46:00Z</cp:lastPrinted>
  <dcterms:created xsi:type="dcterms:W3CDTF">2024-04-18T14:42:00Z</dcterms:created>
  <dcterms:modified xsi:type="dcterms:W3CDTF">2026-08-23T15:31:00Z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